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1723C9"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1723C9" w:rsidRDefault="00BC57D8" w:rsidP="00131490">
            <w:pPr>
              <w:pStyle w:val="ColumnHeading"/>
              <w:rPr>
                <w:rFonts w:asciiTheme="minorHAnsi" w:hAnsiTheme="minorHAnsi" w:cstheme="minorHAnsi"/>
                <w:b w:val="0"/>
                <w:bCs/>
                <w:sz w:val="22"/>
                <w:szCs w:val="22"/>
              </w:rPr>
            </w:pPr>
            <w:bookmarkStart w:id="0" w:name="dcusa_response1"/>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1723C9" w:rsidRDefault="00BC57D8" w:rsidP="00131490">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6140F314" w14:textId="77777777" w:rsidR="00BC57D8" w:rsidRPr="001723C9" w:rsidRDefault="00BC57D8" w:rsidP="00131490">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1C8542D9" w:rsidR="00BC57D8" w:rsidRPr="001723C9" w:rsidRDefault="007245AE" w:rsidP="005C7D70">
            <w:pPr>
              <w:pStyle w:val="Question"/>
              <w:numPr>
                <w:ilvl w:val="0"/>
                <w:numId w:val="5"/>
              </w:numPr>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Do you understand the intent of the CP?</w:t>
            </w:r>
          </w:p>
        </w:tc>
        <w:tc>
          <w:tcPr>
            <w:tcW w:w="3747" w:type="dxa"/>
            <w:shd w:val="clear" w:color="auto" w:fill="E2EFD9" w:themeFill="accent6" w:themeFillTint="33"/>
          </w:tcPr>
          <w:p w14:paraId="680F61BB" w14:textId="173C16D9" w:rsidR="00BC57D8" w:rsidRPr="001723C9"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B836AA" w:rsidRPr="001723C9" w14:paraId="6AB7FB4A" w14:textId="77777777" w:rsidTr="00166D55">
        <w:tc>
          <w:tcPr>
            <w:tcW w:w="1730" w:type="dxa"/>
          </w:tcPr>
          <w:p w14:paraId="335ECE2A" w14:textId="02567FB3" w:rsidR="00B836AA" w:rsidRPr="00B836AA" w:rsidRDefault="00102E1E" w:rsidP="00A759B6">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5717FB2C" w14:textId="520B1905" w:rsidR="00B836AA" w:rsidRPr="001723C9" w:rsidRDefault="00F65952" w:rsidP="00A759B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4E0B9FA0" w14:textId="7FB22285" w:rsidR="00B836AA" w:rsidRPr="00B836AA" w:rsidRDefault="00F65952" w:rsidP="0062158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EF79265" w14:textId="77777777" w:rsidR="00B836AA" w:rsidRPr="001723C9" w:rsidRDefault="00B836AA" w:rsidP="0062158C">
            <w:pPr>
              <w:pStyle w:val="ColumnHeading"/>
              <w:rPr>
                <w:rFonts w:asciiTheme="minorHAnsi" w:hAnsiTheme="minorHAnsi" w:cstheme="minorHAnsi"/>
                <w:b w:val="0"/>
                <w:bCs/>
                <w:sz w:val="22"/>
                <w:szCs w:val="22"/>
              </w:rPr>
            </w:pPr>
          </w:p>
        </w:tc>
      </w:tr>
      <w:tr w:rsidR="00F65952" w:rsidRPr="001723C9" w14:paraId="7C4524FE" w14:textId="77777777" w:rsidTr="00166D55">
        <w:tc>
          <w:tcPr>
            <w:tcW w:w="1730" w:type="dxa"/>
          </w:tcPr>
          <w:p w14:paraId="79BB570E" w14:textId="73D2250D"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307BA36" w14:textId="2A581265" w:rsidR="00F65952" w:rsidRPr="001723C9" w:rsidRDefault="00F65952" w:rsidP="00F65952">
            <w:pPr>
              <w:pStyle w:val="ColumnHeading"/>
              <w:rPr>
                <w:rFonts w:asciiTheme="minorHAnsi" w:hAnsiTheme="minorHAnsi" w:cstheme="minorHAnsi"/>
                <w:b w:val="0"/>
                <w:bCs/>
                <w:sz w:val="22"/>
                <w:szCs w:val="22"/>
              </w:rPr>
            </w:pPr>
            <w:r w:rsidRPr="003147EB">
              <w:rPr>
                <w:rFonts w:asciiTheme="minorHAnsi" w:hAnsiTheme="minorHAnsi" w:cstheme="minorHAnsi"/>
                <w:b w:val="0"/>
                <w:bCs/>
                <w:sz w:val="22"/>
                <w:szCs w:val="22"/>
              </w:rPr>
              <w:t>Non-Confidential</w:t>
            </w:r>
          </w:p>
        </w:tc>
        <w:tc>
          <w:tcPr>
            <w:tcW w:w="7040" w:type="dxa"/>
          </w:tcPr>
          <w:p w14:paraId="7A7F627C" w14:textId="2688114F"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understand the intent of the CP</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03F22A15"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5863522" w14:textId="77777777" w:rsidTr="00166D55">
        <w:tc>
          <w:tcPr>
            <w:tcW w:w="1730" w:type="dxa"/>
          </w:tcPr>
          <w:p w14:paraId="627A4B69" w14:textId="71400D8A"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08ABD536" w14:textId="0FC66FD5" w:rsidR="00F65952" w:rsidRPr="001723C9" w:rsidRDefault="00F65952" w:rsidP="00F65952">
            <w:pPr>
              <w:pStyle w:val="ColumnHeading"/>
              <w:rPr>
                <w:rFonts w:asciiTheme="minorHAnsi" w:hAnsiTheme="minorHAnsi" w:cstheme="minorHAnsi"/>
                <w:b w:val="0"/>
                <w:bCs/>
                <w:sz w:val="22"/>
                <w:szCs w:val="22"/>
                <w:lang w:val="en-GB"/>
              </w:rPr>
            </w:pPr>
            <w:r w:rsidRPr="003147EB">
              <w:rPr>
                <w:rFonts w:asciiTheme="minorHAnsi" w:hAnsiTheme="minorHAnsi" w:cstheme="minorHAnsi"/>
                <w:b w:val="0"/>
                <w:bCs/>
                <w:sz w:val="22"/>
                <w:szCs w:val="22"/>
              </w:rPr>
              <w:t>Non-Confidential</w:t>
            </w:r>
          </w:p>
        </w:tc>
        <w:tc>
          <w:tcPr>
            <w:tcW w:w="7040" w:type="dxa"/>
          </w:tcPr>
          <w:p w14:paraId="431F38D5" w14:textId="6A2AA0E8"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529739F9" w14:textId="77777777" w:rsidTr="00166D55">
        <w:tc>
          <w:tcPr>
            <w:tcW w:w="1730" w:type="dxa"/>
          </w:tcPr>
          <w:p w14:paraId="4E532651" w14:textId="65FAD4E5"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66F1C1AC" w14:textId="4ABCE843" w:rsidR="00F65952" w:rsidRPr="001723C9" w:rsidRDefault="00F65952" w:rsidP="00F65952">
            <w:pPr>
              <w:pStyle w:val="ColumnHeading"/>
              <w:rPr>
                <w:rFonts w:asciiTheme="minorHAnsi" w:hAnsiTheme="minorHAnsi" w:cstheme="minorHAnsi"/>
                <w:b w:val="0"/>
                <w:bCs/>
                <w:sz w:val="22"/>
                <w:szCs w:val="22"/>
              </w:rPr>
            </w:pPr>
            <w:r w:rsidRPr="003147EB">
              <w:rPr>
                <w:rFonts w:asciiTheme="minorHAnsi" w:hAnsiTheme="minorHAnsi" w:cstheme="minorHAnsi"/>
                <w:b w:val="0"/>
                <w:bCs/>
                <w:sz w:val="22"/>
                <w:szCs w:val="22"/>
              </w:rPr>
              <w:t>Non-Confidential</w:t>
            </w:r>
          </w:p>
        </w:tc>
        <w:tc>
          <w:tcPr>
            <w:tcW w:w="7040" w:type="dxa"/>
          </w:tcPr>
          <w:p w14:paraId="639FD1ED" w14:textId="6FB27D43" w:rsidR="00F65952" w:rsidRPr="001E2633" w:rsidRDefault="00B35D24" w:rsidP="00F65952">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Yes.</w:t>
            </w:r>
          </w:p>
        </w:tc>
        <w:tc>
          <w:tcPr>
            <w:tcW w:w="3747" w:type="dxa"/>
            <w:shd w:val="clear" w:color="auto" w:fill="E2EFD9" w:themeFill="accent6" w:themeFillTint="33"/>
          </w:tcPr>
          <w:p w14:paraId="05456743"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0E12F06" w14:textId="77777777" w:rsidTr="00166D55">
        <w:tc>
          <w:tcPr>
            <w:tcW w:w="1730" w:type="dxa"/>
          </w:tcPr>
          <w:p w14:paraId="0BE365CD" w14:textId="4F62766E"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DC51AED" w14:textId="4C2740C9" w:rsidR="00F65952" w:rsidRPr="001723C9" w:rsidRDefault="00F65952" w:rsidP="00F65952">
            <w:pPr>
              <w:pStyle w:val="ColumnHeading"/>
              <w:rPr>
                <w:rFonts w:asciiTheme="minorHAnsi" w:hAnsiTheme="minorHAnsi" w:cstheme="minorHAnsi"/>
                <w:b w:val="0"/>
                <w:bCs/>
                <w:sz w:val="22"/>
                <w:szCs w:val="22"/>
              </w:rPr>
            </w:pPr>
            <w:r w:rsidRPr="003147EB">
              <w:rPr>
                <w:rFonts w:asciiTheme="minorHAnsi" w:hAnsiTheme="minorHAnsi" w:cstheme="minorHAnsi"/>
                <w:b w:val="0"/>
                <w:bCs/>
                <w:sz w:val="22"/>
                <w:szCs w:val="22"/>
              </w:rPr>
              <w:t>Non-Confidential</w:t>
            </w:r>
          </w:p>
        </w:tc>
        <w:tc>
          <w:tcPr>
            <w:tcW w:w="7040" w:type="dxa"/>
          </w:tcPr>
          <w:p w14:paraId="7DA6CB70" w14:textId="750EF15B" w:rsidR="00F65952" w:rsidRPr="0093655A" w:rsidRDefault="00023295"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02D7839F"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3538D0F3" w14:textId="77777777" w:rsidTr="00166D55">
        <w:tc>
          <w:tcPr>
            <w:tcW w:w="1730" w:type="dxa"/>
          </w:tcPr>
          <w:p w14:paraId="42FB19C4" w14:textId="402103B4"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36185C81" w14:textId="50E9644B" w:rsidR="00846BC9" w:rsidRPr="003147EB"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FA194B5" w14:textId="139CD259" w:rsidR="00846BC9"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Yes, we do.</w:t>
            </w:r>
          </w:p>
        </w:tc>
        <w:tc>
          <w:tcPr>
            <w:tcW w:w="3747" w:type="dxa"/>
            <w:shd w:val="clear" w:color="auto" w:fill="E2EFD9" w:themeFill="accent6" w:themeFillTint="33"/>
          </w:tcPr>
          <w:p w14:paraId="54D2C76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589521B" w14:textId="77777777" w:rsidTr="00166D55">
        <w:tc>
          <w:tcPr>
            <w:tcW w:w="1730" w:type="dxa"/>
          </w:tcPr>
          <w:p w14:paraId="08995F37" w14:textId="20396B69"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7EE66BC3" w14:textId="24B97859" w:rsidR="00846BC9" w:rsidRPr="003147EB"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6D5C9198"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We do (but please note the last paragraph on export users). </w:t>
            </w:r>
          </w:p>
          <w:p w14:paraId="29E86A6A" w14:textId="77777777" w:rsidR="00AC1944" w:rsidRDefault="00AC1944" w:rsidP="00846BC9">
            <w:pPr>
              <w:pStyle w:val="ColumnHeading"/>
              <w:rPr>
                <w:rFonts w:asciiTheme="minorHAnsi" w:hAnsiTheme="minorHAnsi" w:cstheme="minorHAnsi"/>
                <w:b w:val="0"/>
                <w:bCs/>
                <w:sz w:val="22"/>
                <w:szCs w:val="22"/>
                <w:lang w:val="en-GB"/>
              </w:rPr>
            </w:pPr>
          </w:p>
          <w:p w14:paraId="4A5B2315"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The proposal has highlighted that currently, under the EDCM, exceeded capacity charges are the same as standard capacity charges. </w:t>
            </w:r>
          </w:p>
          <w:p w14:paraId="1A0AEA4A" w14:textId="77777777" w:rsidR="00AC1944" w:rsidRDefault="00AC1944" w:rsidP="00846BC9">
            <w:pPr>
              <w:pStyle w:val="ColumnHeading"/>
              <w:rPr>
                <w:rFonts w:asciiTheme="minorHAnsi" w:hAnsiTheme="minorHAnsi" w:cstheme="minorHAnsi"/>
                <w:b w:val="0"/>
                <w:bCs/>
                <w:sz w:val="22"/>
                <w:szCs w:val="22"/>
                <w:lang w:val="en-GB"/>
              </w:rPr>
            </w:pPr>
          </w:p>
          <w:p w14:paraId="157B6FA7"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Under the CDCM, this will also be the case from 1 April 2025, </w:t>
            </w:r>
            <w:proofErr w:type="gramStart"/>
            <w:r w:rsidRPr="00AC1944">
              <w:rPr>
                <w:rFonts w:asciiTheme="minorHAnsi" w:hAnsiTheme="minorHAnsi" w:cstheme="minorHAnsi"/>
                <w:b w:val="0"/>
                <w:bCs/>
                <w:sz w:val="22"/>
                <w:szCs w:val="22"/>
                <w:lang w:val="en-GB"/>
              </w:rPr>
              <w:t>as a result of</w:t>
            </w:r>
            <w:proofErr w:type="gramEnd"/>
            <w:r w:rsidRPr="00AC1944">
              <w:rPr>
                <w:rFonts w:asciiTheme="minorHAnsi" w:hAnsiTheme="minorHAnsi" w:cstheme="minorHAnsi"/>
                <w:b w:val="0"/>
                <w:bCs/>
                <w:sz w:val="22"/>
                <w:szCs w:val="22"/>
                <w:lang w:val="en-GB"/>
              </w:rPr>
              <w:t xml:space="preserve"> Ofgem’s Access SCR reforms where connection charges were reduced, </w:t>
            </w:r>
            <w:r w:rsidRPr="00AC1944">
              <w:rPr>
                <w:rFonts w:asciiTheme="minorHAnsi" w:hAnsiTheme="minorHAnsi" w:cstheme="minorHAnsi"/>
                <w:b w:val="0"/>
                <w:bCs/>
                <w:sz w:val="22"/>
                <w:szCs w:val="22"/>
                <w:lang w:val="en-GB"/>
              </w:rPr>
              <w:lastRenderedPageBreak/>
              <w:t xml:space="preserve">which fed into the excess capacity charging calculations. (There is currently still a differential between the two tariffs, however, this will end.) The Working Group analysis also highlighted that prior to charging year 2018/19, both charges were the same. </w:t>
            </w:r>
          </w:p>
          <w:p w14:paraId="628AA73D" w14:textId="77777777" w:rsidR="00AC1944" w:rsidRDefault="00AC1944" w:rsidP="00846BC9">
            <w:pPr>
              <w:pStyle w:val="ColumnHeading"/>
              <w:rPr>
                <w:rFonts w:asciiTheme="minorHAnsi" w:hAnsiTheme="minorHAnsi" w:cstheme="minorHAnsi"/>
                <w:b w:val="0"/>
                <w:bCs/>
                <w:sz w:val="22"/>
                <w:szCs w:val="22"/>
                <w:lang w:val="en-GB"/>
              </w:rPr>
            </w:pPr>
          </w:p>
          <w:p w14:paraId="0E8C6CA5"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We understand that the proposer is seeking to (re-)introduce, from 1 April 2026, a differential between the standard capacity charge and the exceeded capacity charge, under both the CDCM and the EDCM. This is to (re-)create a price signal to network users to not exceed their agreed capacity, by charging exceeded capacity charges based on the highest maximum demand in the preceding 12 months, from the month of exceedance for the next 12 months (currently it is chargeable just for the month of exceedance). (In other words, the exceeded capacity charge itself is to remain unchanged.) </w:t>
            </w:r>
          </w:p>
          <w:p w14:paraId="32533A5F" w14:textId="77777777" w:rsidR="00AC1944" w:rsidRDefault="00AC1944" w:rsidP="00846BC9">
            <w:pPr>
              <w:pStyle w:val="ColumnHeading"/>
              <w:rPr>
                <w:rFonts w:asciiTheme="minorHAnsi" w:hAnsiTheme="minorHAnsi" w:cstheme="minorHAnsi"/>
                <w:b w:val="0"/>
                <w:bCs/>
                <w:sz w:val="22"/>
                <w:szCs w:val="22"/>
                <w:lang w:val="en-GB"/>
              </w:rPr>
            </w:pPr>
          </w:p>
          <w:p w14:paraId="68C10D2D" w14:textId="3C30AC6A" w:rsidR="00846BC9"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We note, from the consultation document, that “the National Terms of Connection (NTC) give certain rights to the Distributor when a customer exceeds their capacity but in practice this can be a long-winded process, that endures long after the event and leaves the Distributor with no real sanctions”, and hence, the proposer considers that a price signal is needed in addition.</w:t>
            </w:r>
          </w:p>
        </w:tc>
        <w:tc>
          <w:tcPr>
            <w:tcW w:w="3747" w:type="dxa"/>
            <w:shd w:val="clear" w:color="auto" w:fill="E2EFD9" w:themeFill="accent6" w:themeFillTint="33"/>
          </w:tcPr>
          <w:p w14:paraId="51236292" w14:textId="77777777" w:rsidR="00846BC9" w:rsidRPr="001723C9" w:rsidRDefault="00846BC9" w:rsidP="00846BC9">
            <w:pPr>
              <w:pStyle w:val="ColumnHeading"/>
              <w:rPr>
                <w:rFonts w:asciiTheme="minorHAnsi" w:hAnsiTheme="minorHAnsi" w:cstheme="minorHAnsi"/>
                <w:b w:val="0"/>
                <w:bCs/>
                <w:sz w:val="22"/>
                <w:szCs w:val="22"/>
              </w:rPr>
            </w:pPr>
          </w:p>
        </w:tc>
      </w:tr>
      <w:tr w:rsidR="00F65952" w:rsidRPr="001723C9" w14:paraId="2045AB3E" w14:textId="77777777" w:rsidTr="00166D55">
        <w:tc>
          <w:tcPr>
            <w:tcW w:w="1730" w:type="dxa"/>
          </w:tcPr>
          <w:p w14:paraId="47C69AF7" w14:textId="06AE7951" w:rsidR="00F65952" w:rsidRPr="001638ED"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2933C468" w14:textId="18ED2ED2" w:rsidR="00F65952" w:rsidRPr="001723C9" w:rsidRDefault="00F65952" w:rsidP="00F65952">
            <w:pPr>
              <w:pStyle w:val="ColumnHeading"/>
              <w:rPr>
                <w:rFonts w:asciiTheme="minorHAnsi" w:hAnsiTheme="minorHAnsi" w:cstheme="minorHAnsi"/>
                <w:b w:val="0"/>
                <w:bCs/>
                <w:sz w:val="22"/>
                <w:szCs w:val="22"/>
              </w:rPr>
            </w:pPr>
            <w:r w:rsidRPr="003147EB">
              <w:rPr>
                <w:rFonts w:asciiTheme="minorHAnsi" w:hAnsiTheme="minorHAnsi" w:cstheme="minorHAnsi"/>
                <w:b w:val="0"/>
                <w:bCs/>
                <w:sz w:val="22"/>
                <w:szCs w:val="22"/>
              </w:rPr>
              <w:t>Non-Confidential</w:t>
            </w:r>
          </w:p>
        </w:tc>
        <w:tc>
          <w:tcPr>
            <w:tcW w:w="7040" w:type="dxa"/>
          </w:tcPr>
          <w:p w14:paraId="420298FB" w14:textId="327918FF" w:rsidR="00F65952" w:rsidRPr="00DE2A65" w:rsidRDefault="00DB770B"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8B3AECB"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F69BB15" w14:textId="77777777" w:rsidTr="00166D55">
        <w:tc>
          <w:tcPr>
            <w:tcW w:w="1730" w:type="dxa"/>
          </w:tcPr>
          <w:p w14:paraId="7FBBDB90" w14:textId="2162DA47" w:rsidR="00F65952" w:rsidRPr="00DE2A65"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64E33306" w14:textId="5E29F2EC" w:rsidR="00F65952" w:rsidRPr="001723C9" w:rsidRDefault="00F65952" w:rsidP="00F65952">
            <w:pPr>
              <w:pStyle w:val="ColumnHeading"/>
              <w:rPr>
                <w:rFonts w:asciiTheme="minorHAnsi" w:hAnsiTheme="minorHAnsi" w:cstheme="minorHAnsi"/>
                <w:b w:val="0"/>
                <w:bCs/>
                <w:sz w:val="22"/>
                <w:szCs w:val="22"/>
              </w:rPr>
            </w:pPr>
            <w:r w:rsidRPr="003147EB">
              <w:rPr>
                <w:rFonts w:asciiTheme="minorHAnsi" w:hAnsiTheme="minorHAnsi" w:cstheme="minorHAnsi"/>
                <w:b w:val="0"/>
                <w:bCs/>
                <w:sz w:val="22"/>
                <w:szCs w:val="22"/>
              </w:rPr>
              <w:t>Non-Confidential</w:t>
            </w:r>
          </w:p>
        </w:tc>
        <w:tc>
          <w:tcPr>
            <w:tcW w:w="7040" w:type="dxa"/>
          </w:tcPr>
          <w:p w14:paraId="7B295600" w14:textId="04AC7CA0" w:rsidR="00F65952" w:rsidRPr="00DE2A65" w:rsidRDefault="005C7D70"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BD5429F" w14:textId="77777777" w:rsidR="00F65952" w:rsidRPr="001723C9" w:rsidRDefault="00F65952" w:rsidP="00F65952">
            <w:pPr>
              <w:pStyle w:val="ColumnHeading"/>
              <w:rPr>
                <w:rFonts w:asciiTheme="minorHAnsi" w:hAnsiTheme="minorHAnsi" w:cstheme="minorHAnsi"/>
                <w:b w:val="0"/>
                <w:bCs/>
                <w:sz w:val="22"/>
                <w:szCs w:val="22"/>
              </w:rPr>
            </w:pPr>
          </w:p>
        </w:tc>
      </w:tr>
      <w:tr w:rsidR="0093655A" w:rsidRPr="001723C9" w14:paraId="220F3C8B" w14:textId="77777777" w:rsidTr="000B48B1">
        <w:tc>
          <w:tcPr>
            <w:tcW w:w="14076" w:type="dxa"/>
            <w:gridSpan w:val="4"/>
            <w:shd w:val="clear" w:color="auto" w:fill="E2EFD9" w:themeFill="accent6" w:themeFillTint="33"/>
          </w:tcPr>
          <w:p w14:paraId="5D7183EC" w14:textId="65C6EF66" w:rsidR="00F12E5F" w:rsidRPr="00F12E5F" w:rsidRDefault="0093655A" w:rsidP="00F12E5F">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Working Group Conclusions: </w:t>
            </w:r>
            <w:r w:rsidR="00F12E5F" w:rsidRPr="00F12E5F">
              <w:rPr>
                <w:rFonts w:asciiTheme="minorHAnsi" w:hAnsiTheme="minorHAnsi" w:cstheme="minorHAnsi"/>
                <w:bCs/>
                <w:sz w:val="22"/>
                <w:szCs w:val="22"/>
                <w:lang w:val="en-GB"/>
              </w:rPr>
              <w:t>All nine respondents said they understood the intent of the CP.</w:t>
            </w:r>
          </w:p>
          <w:p w14:paraId="66DEDA09" w14:textId="5B90F195"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Whilst all nine respondents supported the principles of the CP, one respondent stated that they did not agree that changes should be made to the customers MIC for the forthcoming 12 months where they have exceeded their capacity for a short period.</w:t>
            </w:r>
          </w:p>
          <w:p w14:paraId="0747C41C" w14:textId="058ADC12" w:rsidR="0093655A" w:rsidRPr="001723C9"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 xml:space="preserve">They went on to say in scenarios where a customer exceeds their capacity once within a 12-month period, they believed that the customer should pay the current excess capacity charges. However, they should be advised at that point that should they exceed their capacity again, within that 12-month period, then an assessment should be </w:t>
            </w:r>
            <w:proofErr w:type="gramStart"/>
            <w:r w:rsidRPr="00F12E5F">
              <w:rPr>
                <w:rFonts w:asciiTheme="minorHAnsi" w:hAnsiTheme="minorHAnsi" w:cstheme="minorHAnsi"/>
                <w:bCs/>
                <w:sz w:val="22"/>
                <w:szCs w:val="22"/>
                <w:lang w:val="en-GB"/>
              </w:rPr>
              <w:t>completed</w:t>
            </w:r>
            <w:proofErr w:type="gramEnd"/>
            <w:r w:rsidRPr="00F12E5F">
              <w:rPr>
                <w:rFonts w:asciiTheme="minorHAnsi" w:hAnsiTheme="minorHAnsi" w:cstheme="minorHAnsi"/>
                <w:bCs/>
                <w:sz w:val="22"/>
                <w:szCs w:val="22"/>
                <w:lang w:val="en-GB"/>
              </w:rPr>
              <w:t xml:space="preserve"> and their capacity be increased, with the relevant charges being applied. This will incentivise the customer to remain within their agreed capacity.</w:t>
            </w:r>
          </w:p>
          <w:p w14:paraId="52F52813" w14:textId="6FB5BF6D" w:rsidR="0093655A" w:rsidRPr="001723C9" w:rsidRDefault="0093655A" w:rsidP="0093655A">
            <w:pPr>
              <w:pStyle w:val="BodyText"/>
              <w:rPr>
                <w:rFonts w:asciiTheme="minorHAnsi" w:hAnsiTheme="minorHAnsi" w:cstheme="minorHAnsi"/>
                <w:bCs/>
                <w:sz w:val="22"/>
                <w:szCs w:val="22"/>
                <w:lang w:val="en-GB"/>
              </w:rPr>
            </w:pPr>
          </w:p>
        </w:tc>
      </w:tr>
      <w:bookmarkEnd w:id="0"/>
    </w:tbl>
    <w:p w14:paraId="2A4B08DC" w14:textId="77777777" w:rsidR="00C60583"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3D2C36C"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001D49FA"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Are you supportive of the principle of the CP?</w:t>
            </w:r>
          </w:p>
        </w:tc>
        <w:tc>
          <w:tcPr>
            <w:tcW w:w="3747" w:type="dxa"/>
            <w:shd w:val="clear" w:color="auto" w:fill="E2EFD9" w:themeFill="accent6" w:themeFillTint="33"/>
          </w:tcPr>
          <w:p w14:paraId="0A169994"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519910E2" w14:textId="77777777" w:rsidTr="005B462E">
        <w:tc>
          <w:tcPr>
            <w:tcW w:w="1730" w:type="dxa"/>
          </w:tcPr>
          <w:p w14:paraId="68701C73"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30004C68" w14:textId="04DAEEAA"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16800973" w14:textId="1ED9CC91"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8F7482F"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58504F54" w14:textId="77777777" w:rsidTr="005B462E">
        <w:tc>
          <w:tcPr>
            <w:tcW w:w="1730" w:type="dxa"/>
          </w:tcPr>
          <w:p w14:paraId="782997D3"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EB25ECE" w14:textId="41C1501B" w:rsidR="00F65952" w:rsidRPr="001723C9" w:rsidRDefault="00F65952" w:rsidP="00F65952">
            <w:pPr>
              <w:pStyle w:val="ColumnHeading"/>
              <w:rPr>
                <w:rFonts w:asciiTheme="minorHAnsi" w:hAnsiTheme="minorHAnsi" w:cstheme="minorHAnsi"/>
                <w:b w:val="0"/>
                <w:bCs/>
                <w:sz w:val="22"/>
                <w:szCs w:val="22"/>
              </w:rPr>
            </w:pPr>
            <w:r w:rsidRPr="00BB469F">
              <w:rPr>
                <w:rFonts w:asciiTheme="minorHAnsi" w:hAnsiTheme="minorHAnsi" w:cstheme="minorHAnsi"/>
                <w:b w:val="0"/>
                <w:bCs/>
                <w:sz w:val="22"/>
                <w:szCs w:val="22"/>
              </w:rPr>
              <w:t>Non-Confidential</w:t>
            </w:r>
          </w:p>
        </w:tc>
        <w:tc>
          <w:tcPr>
            <w:tcW w:w="7040" w:type="dxa"/>
          </w:tcPr>
          <w:p w14:paraId="4BEBE711" w14:textId="4D132C59"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are supportive of the principles of the CP</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340C561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B713C24" w14:textId="77777777" w:rsidTr="005B462E">
        <w:tc>
          <w:tcPr>
            <w:tcW w:w="1730" w:type="dxa"/>
          </w:tcPr>
          <w:p w14:paraId="1C003D95"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50473E77" w14:textId="302AE132" w:rsidR="00F65952" w:rsidRPr="001723C9" w:rsidRDefault="00F65952" w:rsidP="00F65952">
            <w:pPr>
              <w:pStyle w:val="ColumnHeading"/>
              <w:rPr>
                <w:rFonts w:asciiTheme="minorHAnsi" w:hAnsiTheme="minorHAnsi" w:cstheme="minorHAnsi"/>
                <w:b w:val="0"/>
                <w:bCs/>
                <w:sz w:val="22"/>
                <w:szCs w:val="22"/>
                <w:lang w:val="en-GB"/>
              </w:rPr>
            </w:pPr>
            <w:r w:rsidRPr="00BB469F">
              <w:rPr>
                <w:rFonts w:asciiTheme="minorHAnsi" w:hAnsiTheme="minorHAnsi" w:cstheme="minorHAnsi"/>
                <w:b w:val="0"/>
                <w:bCs/>
                <w:sz w:val="22"/>
                <w:szCs w:val="22"/>
              </w:rPr>
              <w:t>Non-Confidential</w:t>
            </w:r>
          </w:p>
        </w:tc>
        <w:tc>
          <w:tcPr>
            <w:tcW w:w="7040" w:type="dxa"/>
          </w:tcPr>
          <w:p w14:paraId="5834440E" w14:textId="7A81ABF4"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823AB58"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454AA6CD" w14:textId="77777777" w:rsidTr="005B462E">
        <w:tc>
          <w:tcPr>
            <w:tcW w:w="1730" w:type="dxa"/>
          </w:tcPr>
          <w:p w14:paraId="021CFD82" w14:textId="422F9697"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2D362232" w14:textId="780DF648" w:rsidR="00F65952" w:rsidRPr="001723C9" w:rsidRDefault="00F65952" w:rsidP="00F65952">
            <w:pPr>
              <w:pStyle w:val="ColumnHeading"/>
              <w:rPr>
                <w:rFonts w:asciiTheme="minorHAnsi" w:hAnsiTheme="minorHAnsi" w:cstheme="minorHAnsi"/>
                <w:b w:val="0"/>
                <w:bCs/>
                <w:sz w:val="22"/>
                <w:szCs w:val="22"/>
              </w:rPr>
            </w:pPr>
            <w:r w:rsidRPr="00BB469F">
              <w:rPr>
                <w:rFonts w:asciiTheme="minorHAnsi" w:hAnsiTheme="minorHAnsi" w:cstheme="minorHAnsi"/>
                <w:b w:val="0"/>
                <w:bCs/>
                <w:sz w:val="22"/>
                <w:szCs w:val="22"/>
              </w:rPr>
              <w:t>Non-Confidential</w:t>
            </w:r>
          </w:p>
        </w:tc>
        <w:tc>
          <w:tcPr>
            <w:tcW w:w="7040" w:type="dxa"/>
          </w:tcPr>
          <w:p w14:paraId="10CA93F6" w14:textId="5D6B942E" w:rsidR="00F65952" w:rsidRPr="001E2633" w:rsidRDefault="00B35D24" w:rsidP="00F65952">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Yes.</w:t>
            </w:r>
          </w:p>
        </w:tc>
        <w:tc>
          <w:tcPr>
            <w:tcW w:w="3747" w:type="dxa"/>
            <w:shd w:val="clear" w:color="auto" w:fill="E2EFD9" w:themeFill="accent6" w:themeFillTint="33"/>
          </w:tcPr>
          <w:p w14:paraId="469B0CE6"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753A7BD" w14:textId="77777777" w:rsidTr="005B462E">
        <w:tc>
          <w:tcPr>
            <w:tcW w:w="1730" w:type="dxa"/>
          </w:tcPr>
          <w:p w14:paraId="5BEDD8BE"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SPEN</w:t>
            </w:r>
          </w:p>
        </w:tc>
        <w:tc>
          <w:tcPr>
            <w:tcW w:w="1559" w:type="dxa"/>
          </w:tcPr>
          <w:p w14:paraId="4EA0DBCC" w14:textId="4AAE0E0F" w:rsidR="00F65952" w:rsidRPr="001723C9" w:rsidRDefault="00F65952" w:rsidP="00F65952">
            <w:pPr>
              <w:pStyle w:val="ColumnHeading"/>
              <w:rPr>
                <w:rFonts w:asciiTheme="minorHAnsi" w:hAnsiTheme="minorHAnsi" w:cstheme="minorHAnsi"/>
                <w:b w:val="0"/>
                <w:bCs/>
                <w:sz w:val="22"/>
                <w:szCs w:val="22"/>
              </w:rPr>
            </w:pPr>
            <w:r w:rsidRPr="00BB469F">
              <w:rPr>
                <w:rFonts w:asciiTheme="minorHAnsi" w:hAnsiTheme="minorHAnsi" w:cstheme="minorHAnsi"/>
                <w:b w:val="0"/>
                <w:bCs/>
                <w:sz w:val="22"/>
                <w:szCs w:val="22"/>
              </w:rPr>
              <w:t>Non-Confidential</w:t>
            </w:r>
          </w:p>
        </w:tc>
        <w:tc>
          <w:tcPr>
            <w:tcW w:w="7040" w:type="dxa"/>
          </w:tcPr>
          <w:p w14:paraId="0C1CF4BC" w14:textId="52E5FB03" w:rsidR="00F65952" w:rsidRPr="0093655A" w:rsidRDefault="00023295" w:rsidP="00F65952">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In principle we are supportive of the need to disincentivise poor behaviours and at the same time balance this against the potential unintended consequence of overly penalising genuine oversight by customers or locking network capacity unnecessarily longer term.</w:t>
            </w:r>
          </w:p>
        </w:tc>
        <w:tc>
          <w:tcPr>
            <w:tcW w:w="3747" w:type="dxa"/>
            <w:shd w:val="clear" w:color="auto" w:fill="E2EFD9" w:themeFill="accent6" w:themeFillTint="33"/>
          </w:tcPr>
          <w:p w14:paraId="4DE578AF"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13CBD8F8" w14:textId="77777777" w:rsidTr="005B462E">
        <w:tc>
          <w:tcPr>
            <w:tcW w:w="1730" w:type="dxa"/>
          </w:tcPr>
          <w:p w14:paraId="66DD6B38" w14:textId="11A910B6"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57671E75" w14:textId="1DF2C938" w:rsidR="00846BC9" w:rsidRPr="00BB469F"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E869AF8" w14:textId="77777777" w:rsidR="00BB00BF" w:rsidRDefault="00BB00BF" w:rsidP="00846BC9">
            <w:pPr>
              <w:pStyle w:val="ColumnHeading"/>
              <w:rPr>
                <w:rFonts w:asciiTheme="minorHAnsi" w:hAnsiTheme="minorHAnsi" w:cstheme="minorHAnsi"/>
                <w:b w:val="0"/>
                <w:bCs/>
                <w:sz w:val="22"/>
                <w:szCs w:val="22"/>
                <w:lang w:val="en-GB"/>
              </w:rPr>
            </w:pPr>
            <w:r w:rsidRPr="00BB00BF">
              <w:rPr>
                <w:rFonts w:asciiTheme="minorHAnsi" w:hAnsiTheme="minorHAnsi" w:cstheme="minorHAnsi"/>
                <w:b w:val="0"/>
                <w:bCs/>
                <w:sz w:val="22"/>
                <w:szCs w:val="22"/>
                <w:lang w:val="en-GB"/>
              </w:rPr>
              <w:t xml:space="preserve">Partially. We agree that there must be an incentive for a consumer to keep their usage within their agreed capacity. We also agree that where a consumer has exceeded their capacity for several months the customers capacity should be increased to ensure they pay for the correct capacity. However, we do not agree that changes should be made to the customers MIC for the forthcoming 12 months where they have exceeded their capacity for a short period (e.g. 2 weeks, as per the statement within the consultation). </w:t>
            </w:r>
          </w:p>
          <w:p w14:paraId="66E69B38" w14:textId="77777777" w:rsidR="00BB00BF" w:rsidRDefault="00BB00BF" w:rsidP="00846BC9">
            <w:pPr>
              <w:pStyle w:val="ColumnHeading"/>
              <w:rPr>
                <w:rFonts w:asciiTheme="minorHAnsi" w:hAnsiTheme="minorHAnsi" w:cstheme="minorHAnsi"/>
                <w:b w:val="0"/>
                <w:bCs/>
                <w:sz w:val="22"/>
                <w:szCs w:val="22"/>
                <w:lang w:val="en-GB"/>
              </w:rPr>
            </w:pPr>
          </w:p>
          <w:p w14:paraId="4A2A8DFC" w14:textId="77777777" w:rsidR="00BB00BF" w:rsidRDefault="00BB00BF" w:rsidP="00846BC9">
            <w:pPr>
              <w:pStyle w:val="ColumnHeading"/>
              <w:rPr>
                <w:rFonts w:asciiTheme="minorHAnsi" w:hAnsiTheme="minorHAnsi" w:cstheme="minorHAnsi"/>
                <w:b w:val="0"/>
                <w:bCs/>
                <w:sz w:val="22"/>
                <w:szCs w:val="22"/>
                <w:lang w:val="en-GB"/>
              </w:rPr>
            </w:pPr>
            <w:r w:rsidRPr="00BB00BF">
              <w:rPr>
                <w:rFonts w:asciiTheme="minorHAnsi" w:hAnsiTheme="minorHAnsi" w:cstheme="minorHAnsi"/>
                <w:b w:val="0"/>
                <w:bCs/>
                <w:sz w:val="22"/>
                <w:szCs w:val="22"/>
                <w:lang w:val="en-GB"/>
              </w:rPr>
              <w:t xml:space="preserve">Should a customer exceed their capacity once within a 12-month period, then we believe that the customer should pay the current excess capacity charges. However, they should be advised at that point that should they exceed their capacity again, within that 12-month period, then an assessment will be </w:t>
            </w:r>
            <w:proofErr w:type="gramStart"/>
            <w:r w:rsidRPr="00BB00BF">
              <w:rPr>
                <w:rFonts w:asciiTheme="minorHAnsi" w:hAnsiTheme="minorHAnsi" w:cstheme="minorHAnsi"/>
                <w:b w:val="0"/>
                <w:bCs/>
                <w:sz w:val="22"/>
                <w:szCs w:val="22"/>
                <w:lang w:val="en-GB"/>
              </w:rPr>
              <w:t>completed</w:t>
            </w:r>
            <w:proofErr w:type="gramEnd"/>
            <w:r w:rsidRPr="00BB00BF">
              <w:rPr>
                <w:rFonts w:asciiTheme="minorHAnsi" w:hAnsiTheme="minorHAnsi" w:cstheme="minorHAnsi"/>
                <w:b w:val="0"/>
                <w:bCs/>
                <w:sz w:val="22"/>
                <w:szCs w:val="22"/>
                <w:lang w:val="en-GB"/>
              </w:rPr>
              <w:t xml:space="preserve"> and their capacity will be increased, with the relevant charges being applied. This will incentivise the customer to remain within their agreed capacity. </w:t>
            </w:r>
          </w:p>
          <w:p w14:paraId="5B6D81AF" w14:textId="77777777" w:rsidR="00BB00BF" w:rsidRDefault="00BB00BF" w:rsidP="00846BC9">
            <w:pPr>
              <w:pStyle w:val="ColumnHeading"/>
              <w:rPr>
                <w:rFonts w:asciiTheme="minorHAnsi" w:hAnsiTheme="minorHAnsi" w:cstheme="minorHAnsi"/>
                <w:b w:val="0"/>
                <w:bCs/>
                <w:sz w:val="22"/>
                <w:szCs w:val="22"/>
                <w:lang w:val="en-GB"/>
              </w:rPr>
            </w:pPr>
          </w:p>
          <w:p w14:paraId="260FDBE8" w14:textId="77777777" w:rsidR="00BB00BF" w:rsidRDefault="00BB00BF" w:rsidP="00846BC9">
            <w:pPr>
              <w:pStyle w:val="ColumnHeading"/>
              <w:rPr>
                <w:rFonts w:asciiTheme="minorHAnsi" w:hAnsiTheme="minorHAnsi" w:cstheme="minorHAnsi"/>
                <w:b w:val="0"/>
                <w:bCs/>
                <w:sz w:val="22"/>
                <w:szCs w:val="22"/>
                <w:lang w:val="en-GB"/>
              </w:rPr>
            </w:pPr>
            <w:r w:rsidRPr="00BB00BF">
              <w:rPr>
                <w:rFonts w:asciiTheme="minorHAnsi" w:hAnsiTheme="minorHAnsi" w:cstheme="minorHAnsi"/>
                <w:b w:val="0"/>
                <w:bCs/>
                <w:sz w:val="22"/>
                <w:szCs w:val="22"/>
                <w:lang w:val="en-GB"/>
              </w:rPr>
              <w:t xml:space="preserve">Where a customer continues to exceed their capacity over and above their agreed MIC, then we agree that the customer should be re-assessed, and their capacity increased with the correct charges applied. </w:t>
            </w:r>
          </w:p>
          <w:p w14:paraId="03DACAA7" w14:textId="77777777" w:rsidR="00BB00BF" w:rsidRDefault="00BB00BF" w:rsidP="00846BC9">
            <w:pPr>
              <w:pStyle w:val="ColumnHeading"/>
              <w:rPr>
                <w:rFonts w:asciiTheme="minorHAnsi" w:hAnsiTheme="minorHAnsi" w:cstheme="minorHAnsi"/>
                <w:b w:val="0"/>
                <w:bCs/>
                <w:sz w:val="22"/>
                <w:szCs w:val="22"/>
                <w:lang w:val="en-GB"/>
              </w:rPr>
            </w:pPr>
          </w:p>
          <w:p w14:paraId="217303D8" w14:textId="77777777" w:rsidR="00BB00BF" w:rsidRDefault="00BB00BF" w:rsidP="00846BC9">
            <w:pPr>
              <w:pStyle w:val="ColumnHeading"/>
              <w:rPr>
                <w:rFonts w:asciiTheme="minorHAnsi" w:hAnsiTheme="minorHAnsi" w:cstheme="minorHAnsi"/>
                <w:b w:val="0"/>
                <w:bCs/>
                <w:sz w:val="22"/>
                <w:szCs w:val="22"/>
                <w:lang w:val="en-GB"/>
              </w:rPr>
            </w:pPr>
            <w:r w:rsidRPr="00BB00BF">
              <w:rPr>
                <w:rFonts w:asciiTheme="minorHAnsi" w:hAnsiTheme="minorHAnsi" w:cstheme="minorHAnsi"/>
                <w:b w:val="0"/>
                <w:bCs/>
                <w:sz w:val="22"/>
                <w:szCs w:val="22"/>
                <w:lang w:val="en-GB"/>
              </w:rPr>
              <w:lastRenderedPageBreak/>
              <w:t>We would like to note that ‘Treating Customers Fairly’ should be taken into consideration in that, customers who continually exceed their capacity should not be treated the same for those that do not. Where a customer has exceeded their capacity once, they should be contacted to advise the process in which will be taken should they</w:t>
            </w:r>
            <w:r>
              <w:rPr>
                <w:rFonts w:asciiTheme="minorHAnsi" w:hAnsiTheme="minorHAnsi" w:cstheme="minorHAnsi"/>
                <w:b w:val="0"/>
                <w:bCs/>
                <w:sz w:val="22"/>
                <w:szCs w:val="22"/>
                <w:lang w:val="en-GB"/>
              </w:rPr>
              <w:t xml:space="preserve"> </w:t>
            </w:r>
            <w:r w:rsidRPr="00BB00BF">
              <w:rPr>
                <w:rFonts w:asciiTheme="minorHAnsi" w:hAnsiTheme="minorHAnsi" w:cstheme="minorHAnsi"/>
                <w:b w:val="0"/>
                <w:bCs/>
                <w:sz w:val="22"/>
                <w:szCs w:val="22"/>
                <w:lang w:val="en-GB"/>
              </w:rPr>
              <w:t xml:space="preserve">continue to exceed it. E.g. a review will be completed, and should they continue to exceed the capacity, changes will be made going forward. </w:t>
            </w:r>
          </w:p>
          <w:p w14:paraId="18EA6BED" w14:textId="77777777" w:rsidR="00BB00BF" w:rsidRDefault="00BB00BF" w:rsidP="00846BC9">
            <w:pPr>
              <w:pStyle w:val="ColumnHeading"/>
              <w:rPr>
                <w:rFonts w:asciiTheme="minorHAnsi" w:hAnsiTheme="minorHAnsi" w:cstheme="minorHAnsi"/>
                <w:b w:val="0"/>
                <w:bCs/>
                <w:sz w:val="22"/>
                <w:szCs w:val="22"/>
                <w:lang w:val="en-GB"/>
              </w:rPr>
            </w:pPr>
          </w:p>
          <w:p w14:paraId="2A08438D" w14:textId="546745B7" w:rsidR="00846BC9"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Whilst we do appreciate there is a need to ensure the network has no detrimental impacts, we consider this to be a more consistent and fairer approach.</w:t>
            </w:r>
          </w:p>
        </w:tc>
        <w:tc>
          <w:tcPr>
            <w:tcW w:w="3747" w:type="dxa"/>
            <w:shd w:val="clear" w:color="auto" w:fill="E2EFD9" w:themeFill="accent6" w:themeFillTint="33"/>
          </w:tcPr>
          <w:p w14:paraId="1A1431EC" w14:textId="2F3712ED" w:rsidR="00846BC9" w:rsidRPr="001723C9" w:rsidRDefault="002069B8"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This change isnt seekng to change a customer MIC. And that any limit/grace period is out of scope for this change.</w:t>
            </w:r>
          </w:p>
        </w:tc>
      </w:tr>
      <w:tr w:rsidR="00846BC9" w:rsidRPr="001723C9" w14:paraId="749D9435" w14:textId="77777777" w:rsidTr="005B462E">
        <w:tc>
          <w:tcPr>
            <w:tcW w:w="1730" w:type="dxa"/>
          </w:tcPr>
          <w:p w14:paraId="421D2C1C" w14:textId="061E3E8B"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7431FF64" w14:textId="5151FBC3" w:rsidR="00846BC9" w:rsidRPr="00BB469F"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A548E3B"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Yes, we are. </w:t>
            </w:r>
          </w:p>
          <w:p w14:paraId="209B721A" w14:textId="77777777" w:rsidR="00AC1944" w:rsidRDefault="00AC1944" w:rsidP="00846BC9">
            <w:pPr>
              <w:pStyle w:val="ColumnHeading"/>
              <w:rPr>
                <w:rFonts w:asciiTheme="minorHAnsi" w:hAnsiTheme="minorHAnsi" w:cstheme="minorHAnsi"/>
                <w:b w:val="0"/>
                <w:bCs/>
                <w:sz w:val="22"/>
                <w:szCs w:val="22"/>
                <w:lang w:val="en-GB"/>
              </w:rPr>
            </w:pPr>
          </w:p>
          <w:p w14:paraId="3D1F9BA2" w14:textId="68E126D4" w:rsidR="00846BC9"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We note that individual incidences of customers exceeding their capacity may not always have a material impact on the system, however, collective unplanned exceedance is more likely to have a negative impact on the resilience and costs of the network, and in turn the wider network user community. Hence, capacity exceedance is to be discouraged.</w:t>
            </w:r>
          </w:p>
        </w:tc>
        <w:tc>
          <w:tcPr>
            <w:tcW w:w="3747" w:type="dxa"/>
            <w:shd w:val="clear" w:color="auto" w:fill="E2EFD9" w:themeFill="accent6" w:themeFillTint="33"/>
          </w:tcPr>
          <w:p w14:paraId="00A27CE2"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B78FFEC" w14:textId="77777777" w:rsidTr="005B462E">
        <w:tc>
          <w:tcPr>
            <w:tcW w:w="1730" w:type="dxa"/>
          </w:tcPr>
          <w:p w14:paraId="5F56F984"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26AF2089" w14:textId="125E307D" w:rsidR="00846BC9" w:rsidRPr="001723C9" w:rsidRDefault="00846BC9" w:rsidP="00846BC9">
            <w:pPr>
              <w:pStyle w:val="ColumnHeading"/>
              <w:rPr>
                <w:rFonts w:asciiTheme="minorHAnsi" w:hAnsiTheme="minorHAnsi" w:cstheme="minorHAnsi"/>
                <w:b w:val="0"/>
                <w:bCs/>
                <w:sz w:val="22"/>
                <w:szCs w:val="22"/>
              </w:rPr>
            </w:pPr>
            <w:r w:rsidRPr="00BB469F">
              <w:rPr>
                <w:rFonts w:asciiTheme="minorHAnsi" w:hAnsiTheme="minorHAnsi" w:cstheme="minorHAnsi"/>
                <w:b w:val="0"/>
                <w:bCs/>
                <w:sz w:val="22"/>
                <w:szCs w:val="22"/>
              </w:rPr>
              <w:t>Non-Confidential</w:t>
            </w:r>
          </w:p>
        </w:tc>
        <w:tc>
          <w:tcPr>
            <w:tcW w:w="7040" w:type="dxa"/>
          </w:tcPr>
          <w:p w14:paraId="277FEA9B" w14:textId="4EB866F4" w:rsidR="00846BC9" w:rsidRPr="00DE2A65" w:rsidRDefault="00846BC9" w:rsidP="00846BC9">
            <w:pPr>
              <w:pStyle w:val="ColumnHeading"/>
              <w:rPr>
                <w:rFonts w:asciiTheme="minorHAnsi" w:hAnsiTheme="minorHAnsi" w:cstheme="minorHAnsi"/>
                <w:b w:val="0"/>
                <w:bCs/>
                <w:sz w:val="22"/>
                <w:szCs w:val="22"/>
                <w:lang w:val="en-GB"/>
              </w:rPr>
            </w:pPr>
            <w:proofErr w:type="gramStart"/>
            <w:r>
              <w:rPr>
                <w:rFonts w:asciiTheme="minorHAnsi" w:hAnsiTheme="minorHAnsi" w:cstheme="minorHAnsi"/>
                <w:b w:val="0"/>
                <w:bCs/>
                <w:sz w:val="22"/>
                <w:szCs w:val="22"/>
                <w:lang w:val="en-GB"/>
              </w:rPr>
              <w:t>Yes</w:t>
            </w:r>
            <w:proofErr w:type="gramEnd"/>
            <w:r>
              <w:rPr>
                <w:rFonts w:asciiTheme="minorHAnsi" w:hAnsiTheme="minorHAnsi" w:cstheme="minorHAnsi"/>
                <w:b w:val="0"/>
                <w:bCs/>
                <w:sz w:val="22"/>
                <w:szCs w:val="22"/>
                <w:lang w:val="en-GB"/>
              </w:rPr>
              <w:t xml:space="preserve"> in principle.</w:t>
            </w:r>
          </w:p>
        </w:tc>
        <w:tc>
          <w:tcPr>
            <w:tcW w:w="3747" w:type="dxa"/>
            <w:shd w:val="clear" w:color="auto" w:fill="E2EFD9" w:themeFill="accent6" w:themeFillTint="33"/>
          </w:tcPr>
          <w:p w14:paraId="7158170B"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B64C28C" w14:textId="77777777" w:rsidTr="005B462E">
        <w:tc>
          <w:tcPr>
            <w:tcW w:w="1730" w:type="dxa"/>
          </w:tcPr>
          <w:p w14:paraId="4BFEF58C"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0F1EDC85" w14:textId="4276F97C" w:rsidR="00846BC9" w:rsidRPr="001723C9" w:rsidRDefault="00846BC9" w:rsidP="00846BC9">
            <w:pPr>
              <w:pStyle w:val="ColumnHeading"/>
              <w:rPr>
                <w:rFonts w:asciiTheme="minorHAnsi" w:hAnsiTheme="minorHAnsi" w:cstheme="minorHAnsi"/>
                <w:b w:val="0"/>
                <w:bCs/>
                <w:sz w:val="22"/>
                <w:szCs w:val="22"/>
              </w:rPr>
            </w:pPr>
            <w:r w:rsidRPr="00BB469F">
              <w:rPr>
                <w:rFonts w:asciiTheme="minorHAnsi" w:hAnsiTheme="minorHAnsi" w:cstheme="minorHAnsi"/>
                <w:b w:val="0"/>
                <w:bCs/>
                <w:sz w:val="22"/>
                <w:szCs w:val="22"/>
              </w:rPr>
              <w:t>Non-Confidential</w:t>
            </w:r>
          </w:p>
        </w:tc>
        <w:tc>
          <w:tcPr>
            <w:tcW w:w="7040" w:type="dxa"/>
          </w:tcPr>
          <w:p w14:paraId="2DFE99EF" w14:textId="35083E65"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B64217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DDC6487" w14:textId="77777777" w:rsidTr="005B462E">
        <w:tc>
          <w:tcPr>
            <w:tcW w:w="14076" w:type="dxa"/>
            <w:gridSpan w:val="4"/>
            <w:shd w:val="clear" w:color="auto" w:fill="E2EFD9" w:themeFill="accent6" w:themeFillTint="33"/>
          </w:tcPr>
          <w:p w14:paraId="1FA19810" w14:textId="77777777" w:rsidR="00F12E5F" w:rsidRPr="00F12E5F" w:rsidRDefault="00846BC9" w:rsidP="00F12E5F">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Working Group Conclusions: </w:t>
            </w:r>
            <w:r w:rsidR="00F12E5F" w:rsidRPr="00F12E5F">
              <w:rPr>
                <w:rFonts w:asciiTheme="minorHAnsi" w:hAnsiTheme="minorHAnsi" w:cstheme="minorHAnsi"/>
                <w:bCs/>
                <w:sz w:val="22"/>
                <w:szCs w:val="22"/>
                <w:lang w:val="en-GB"/>
              </w:rPr>
              <w:t>Whilst all nine respondents supported the principles of the CP, one respondent stated that they did not agree that changes should be made to the customers MIC for the forthcoming 12 months where they have exceeded their capacity for a short period.</w:t>
            </w:r>
          </w:p>
          <w:p w14:paraId="70DB085A" w14:textId="7254A5AE" w:rsidR="00846BC9" w:rsidRPr="001723C9" w:rsidRDefault="00F12E5F" w:rsidP="00846BC9">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They went on to say in scenarios where a customer exceeds their capacity once within a 12-month period, they believed that the customer should pay the current excess capacity charges. However, they should be advised at that point that should they exceed their capacity again, within that 12-month period, then an assessment should be completed, and their capacity be increased, with the relevant charges being applied. This will incentivise the customer to remain within their agreed capacity.</w:t>
            </w:r>
          </w:p>
        </w:tc>
      </w:tr>
    </w:tbl>
    <w:p w14:paraId="18D5CAD7"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C584C34"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0A157D33"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believe that the proposed solution of charging excess capacity charges each month based on the MD in the previous 12 months is suitable? Please provide rationale.</w:t>
            </w:r>
          </w:p>
        </w:tc>
        <w:tc>
          <w:tcPr>
            <w:tcW w:w="3747" w:type="dxa"/>
            <w:shd w:val="clear" w:color="auto" w:fill="E2EFD9" w:themeFill="accent6" w:themeFillTint="33"/>
          </w:tcPr>
          <w:p w14:paraId="476777FE"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40702AFA" w14:textId="77777777" w:rsidTr="005B462E">
        <w:tc>
          <w:tcPr>
            <w:tcW w:w="1730" w:type="dxa"/>
          </w:tcPr>
          <w:p w14:paraId="492CA6A5"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5101DE42" w14:textId="1B4920C8"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4FB86D68" w14:textId="1D21E698"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Yes, it would hopefully encourage best practice and would take out the risk of capacity not being available.</w:t>
            </w:r>
          </w:p>
        </w:tc>
        <w:tc>
          <w:tcPr>
            <w:tcW w:w="3747" w:type="dxa"/>
            <w:shd w:val="clear" w:color="auto" w:fill="E2EFD9" w:themeFill="accent6" w:themeFillTint="33"/>
          </w:tcPr>
          <w:p w14:paraId="714A0A0B"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3AD52A14" w14:textId="77777777" w:rsidTr="005B462E">
        <w:tc>
          <w:tcPr>
            <w:tcW w:w="1730" w:type="dxa"/>
          </w:tcPr>
          <w:p w14:paraId="2A2D90B6"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115726E" w14:textId="5CB15E47" w:rsidR="00F65952" w:rsidRPr="001723C9" w:rsidRDefault="00F65952" w:rsidP="00F65952">
            <w:pPr>
              <w:pStyle w:val="ColumnHeading"/>
              <w:rPr>
                <w:rFonts w:asciiTheme="minorHAnsi" w:hAnsiTheme="minorHAnsi" w:cstheme="minorHAnsi"/>
                <w:b w:val="0"/>
                <w:bCs/>
                <w:sz w:val="22"/>
                <w:szCs w:val="22"/>
              </w:rPr>
            </w:pPr>
            <w:r w:rsidRPr="00F73832">
              <w:rPr>
                <w:rFonts w:asciiTheme="minorHAnsi" w:hAnsiTheme="minorHAnsi" w:cstheme="minorHAnsi"/>
                <w:b w:val="0"/>
                <w:bCs/>
                <w:sz w:val="22"/>
                <w:szCs w:val="22"/>
              </w:rPr>
              <w:t>Non-Confidential</w:t>
            </w:r>
          </w:p>
        </w:tc>
        <w:tc>
          <w:tcPr>
            <w:tcW w:w="7040" w:type="dxa"/>
          </w:tcPr>
          <w:p w14:paraId="1ED3B769" w14:textId="6C6C01F7"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We agree that there should be a financial incentive on customers to manage their demand in line with their agreed capacity. </w:t>
            </w:r>
            <w:proofErr w:type="gramStart"/>
            <w:r w:rsidRPr="00B35D24">
              <w:rPr>
                <w:rFonts w:asciiTheme="minorHAnsi" w:hAnsiTheme="minorHAnsi" w:cstheme="minorHAnsi"/>
                <w:b w:val="0"/>
                <w:bCs/>
                <w:sz w:val="22"/>
                <w:szCs w:val="22"/>
                <w:lang w:val="en-GB"/>
              </w:rPr>
              <w:t>However</w:t>
            </w:r>
            <w:proofErr w:type="gramEnd"/>
            <w:r w:rsidRPr="00B35D24">
              <w:rPr>
                <w:rFonts w:asciiTheme="minorHAnsi" w:hAnsiTheme="minorHAnsi" w:cstheme="minorHAnsi"/>
                <w:b w:val="0"/>
                <w:bCs/>
                <w:sz w:val="22"/>
                <w:szCs w:val="22"/>
                <w:lang w:val="en-GB"/>
              </w:rPr>
              <w:t xml:space="preserve"> we are unable to assess whether charging the excess for a full 12 months is reasonable and costs reflective and we do not have the data to assess what the true cost to the network is when customers exceed their agreed capacity.</w:t>
            </w:r>
          </w:p>
        </w:tc>
        <w:tc>
          <w:tcPr>
            <w:tcW w:w="3747" w:type="dxa"/>
            <w:shd w:val="clear" w:color="auto" w:fill="E2EFD9" w:themeFill="accent6" w:themeFillTint="33"/>
          </w:tcPr>
          <w:p w14:paraId="3B2FFBA1" w14:textId="39BC22E9" w:rsidR="00F65952" w:rsidRPr="001723C9" w:rsidRDefault="002069B8"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It weas noted that this data my be comercially sensitive and would be difficult to draw like for like comparisons as each scenairo is unique.</w:t>
            </w:r>
          </w:p>
        </w:tc>
      </w:tr>
      <w:tr w:rsidR="00F65952" w:rsidRPr="001723C9" w14:paraId="1E2384D6" w14:textId="77777777" w:rsidTr="005B462E">
        <w:tc>
          <w:tcPr>
            <w:tcW w:w="1730" w:type="dxa"/>
          </w:tcPr>
          <w:p w14:paraId="1EBC0BE6"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F2126BC" w14:textId="1B7ABD56" w:rsidR="00F65952" w:rsidRPr="001723C9" w:rsidRDefault="00F65952" w:rsidP="00F65952">
            <w:pPr>
              <w:pStyle w:val="ColumnHeading"/>
              <w:rPr>
                <w:rFonts w:asciiTheme="minorHAnsi" w:hAnsiTheme="minorHAnsi" w:cstheme="minorHAnsi"/>
                <w:b w:val="0"/>
                <w:bCs/>
                <w:sz w:val="22"/>
                <w:szCs w:val="22"/>
                <w:lang w:val="en-GB"/>
              </w:rPr>
            </w:pPr>
            <w:r w:rsidRPr="00F73832">
              <w:rPr>
                <w:rFonts w:asciiTheme="minorHAnsi" w:hAnsiTheme="minorHAnsi" w:cstheme="minorHAnsi"/>
                <w:b w:val="0"/>
                <w:bCs/>
                <w:sz w:val="22"/>
                <w:szCs w:val="22"/>
              </w:rPr>
              <w:t>Non-Confidential</w:t>
            </w:r>
          </w:p>
        </w:tc>
        <w:tc>
          <w:tcPr>
            <w:tcW w:w="7040" w:type="dxa"/>
          </w:tcPr>
          <w:p w14:paraId="25D7CC45" w14:textId="48D62595"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If a customer goes over their capacity once and is a one off then to charge them 12 times the capacity charge is a bit harsh however, for regular offenders this seems sensible as they should be paying this value anyway and effectively are already paying this.</w:t>
            </w:r>
          </w:p>
        </w:tc>
        <w:tc>
          <w:tcPr>
            <w:tcW w:w="3747" w:type="dxa"/>
            <w:shd w:val="clear" w:color="auto" w:fill="E2EFD9" w:themeFill="accent6" w:themeFillTint="33"/>
          </w:tcPr>
          <w:p w14:paraId="62C441F7"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722D8B5A" w14:textId="77777777" w:rsidTr="005B462E">
        <w:tc>
          <w:tcPr>
            <w:tcW w:w="1730" w:type="dxa"/>
          </w:tcPr>
          <w:p w14:paraId="53ABD2FE" w14:textId="3F8667B9"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01CA3E88" w14:textId="4EBE432A" w:rsidR="00F65952" w:rsidRPr="001723C9" w:rsidRDefault="00F65952" w:rsidP="00F65952">
            <w:pPr>
              <w:pStyle w:val="ColumnHeading"/>
              <w:rPr>
                <w:rFonts w:asciiTheme="minorHAnsi" w:hAnsiTheme="minorHAnsi" w:cstheme="minorHAnsi"/>
                <w:b w:val="0"/>
                <w:bCs/>
                <w:sz w:val="22"/>
                <w:szCs w:val="22"/>
              </w:rPr>
            </w:pPr>
            <w:r w:rsidRPr="00F73832">
              <w:rPr>
                <w:rFonts w:asciiTheme="minorHAnsi" w:hAnsiTheme="minorHAnsi" w:cstheme="minorHAnsi"/>
                <w:b w:val="0"/>
                <w:bCs/>
                <w:sz w:val="22"/>
                <w:szCs w:val="22"/>
              </w:rPr>
              <w:t>Non-Confidential</w:t>
            </w:r>
          </w:p>
        </w:tc>
        <w:tc>
          <w:tcPr>
            <w:tcW w:w="7040" w:type="dxa"/>
          </w:tcPr>
          <w:p w14:paraId="5E25338E" w14:textId="77777777" w:rsidR="00B35D24" w:rsidRDefault="00B35D24" w:rsidP="00B35D24">
            <w:pPr>
              <w:pStyle w:val="ColumnHeading"/>
              <w:rPr>
                <w:rFonts w:asciiTheme="minorHAnsi" w:hAnsiTheme="minorHAnsi" w:cstheme="minorHAnsi"/>
                <w:b w:val="0"/>
                <w:sz w:val="22"/>
                <w:szCs w:val="22"/>
                <w:lang w:val="en-GB"/>
              </w:rPr>
            </w:pPr>
            <w:r w:rsidRPr="00B35D24">
              <w:rPr>
                <w:rFonts w:asciiTheme="minorHAnsi" w:hAnsiTheme="minorHAnsi" w:cstheme="minorHAnsi"/>
                <w:b w:val="0"/>
                <w:sz w:val="22"/>
                <w:szCs w:val="22"/>
                <w:lang w:val="en-GB"/>
              </w:rPr>
              <w:t xml:space="preserve">No. It seems unfair to charge a customer for a full year when they have only exceeded in one month and potentially only in one half hour. This could also disincentivise customers from remaining within their MIC as, for example, if they know they tend to be close to or exceed their MIC once a year they would have no incentive to not exceed in the rest of the year because they would be being charged for it regardless. </w:t>
            </w:r>
          </w:p>
          <w:p w14:paraId="5727FBAA" w14:textId="77777777" w:rsidR="00B35D24" w:rsidRPr="00B35D24" w:rsidRDefault="00B35D24" w:rsidP="00B35D24">
            <w:pPr>
              <w:rPr>
                <w:lang w:val="en-GB"/>
              </w:rPr>
            </w:pPr>
          </w:p>
          <w:p w14:paraId="5437C532" w14:textId="77777777" w:rsidR="00B35D24" w:rsidRPr="00B35D24" w:rsidRDefault="00B35D24" w:rsidP="00B35D24">
            <w:pPr>
              <w:pStyle w:val="ColumnHeading"/>
              <w:rPr>
                <w:rFonts w:asciiTheme="minorHAnsi" w:hAnsiTheme="minorHAnsi" w:cstheme="minorHAnsi"/>
                <w:b w:val="0"/>
                <w:sz w:val="22"/>
                <w:szCs w:val="22"/>
                <w:lang w:val="en-GB"/>
              </w:rPr>
            </w:pPr>
            <w:r w:rsidRPr="00B35D24">
              <w:rPr>
                <w:rFonts w:asciiTheme="minorHAnsi" w:hAnsiTheme="minorHAnsi" w:cstheme="minorHAnsi"/>
                <w:b w:val="0"/>
                <w:sz w:val="22"/>
                <w:szCs w:val="22"/>
                <w:lang w:val="en-GB"/>
              </w:rPr>
              <w:t xml:space="preserve">If there was a change in </w:t>
            </w:r>
            <w:proofErr w:type="gramStart"/>
            <w:r w:rsidRPr="00B35D24">
              <w:rPr>
                <w:rFonts w:asciiTheme="minorHAnsi" w:hAnsiTheme="minorHAnsi" w:cstheme="minorHAnsi"/>
                <w:b w:val="0"/>
                <w:sz w:val="22"/>
                <w:szCs w:val="22"/>
                <w:lang w:val="en-GB"/>
              </w:rPr>
              <w:t>tenancy</w:t>
            </w:r>
            <w:proofErr w:type="gramEnd"/>
            <w:r w:rsidRPr="00B35D24">
              <w:rPr>
                <w:rFonts w:asciiTheme="minorHAnsi" w:hAnsiTheme="minorHAnsi" w:cstheme="minorHAnsi"/>
                <w:b w:val="0"/>
                <w:sz w:val="22"/>
                <w:szCs w:val="22"/>
                <w:lang w:val="en-GB"/>
              </w:rPr>
              <w:t xml:space="preserve"> then if the excess capacity charges are passed through by the </w:t>
            </w:r>
            <w:proofErr w:type="gramStart"/>
            <w:r w:rsidRPr="00B35D24">
              <w:rPr>
                <w:rFonts w:asciiTheme="minorHAnsi" w:hAnsiTheme="minorHAnsi" w:cstheme="minorHAnsi"/>
                <w:b w:val="0"/>
                <w:sz w:val="22"/>
                <w:szCs w:val="22"/>
                <w:lang w:val="en-GB"/>
              </w:rPr>
              <w:t>supplier</w:t>
            </w:r>
            <w:proofErr w:type="gramEnd"/>
            <w:r w:rsidRPr="00B35D24">
              <w:rPr>
                <w:rFonts w:asciiTheme="minorHAnsi" w:hAnsiTheme="minorHAnsi" w:cstheme="minorHAnsi"/>
                <w:b w:val="0"/>
                <w:sz w:val="22"/>
                <w:szCs w:val="22"/>
                <w:lang w:val="en-GB"/>
              </w:rPr>
              <w:t xml:space="preserve"> then the new customer would be responsible for paying for the previous customer’s behaviour.</w:t>
            </w:r>
          </w:p>
          <w:p w14:paraId="46CD9C3B" w14:textId="7A94FD9B" w:rsidR="00F65952" w:rsidRPr="001E2633" w:rsidRDefault="00B35D24" w:rsidP="00B35D24">
            <w:pPr>
              <w:pStyle w:val="ColumnHeading"/>
              <w:rPr>
                <w:rFonts w:asciiTheme="minorHAnsi" w:hAnsiTheme="minorHAnsi" w:cstheme="minorHAnsi"/>
                <w:b w:val="0"/>
                <w:sz w:val="22"/>
                <w:szCs w:val="22"/>
                <w:lang w:val="en-GB"/>
              </w:rPr>
            </w:pPr>
            <w:r w:rsidRPr="00B35D24">
              <w:rPr>
                <w:rFonts w:asciiTheme="minorHAnsi" w:hAnsiTheme="minorHAnsi" w:cstheme="minorHAnsi"/>
                <w:b w:val="0"/>
                <w:sz w:val="22"/>
                <w:szCs w:val="22"/>
                <w:lang w:val="en-GB"/>
              </w:rPr>
              <w:t>Additionally erroneous data spikes that are not picked up by monthly checks or not corrected could also be charged for a full year.</w:t>
            </w:r>
          </w:p>
        </w:tc>
        <w:tc>
          <w:tcPr>
            <w:tcW w:w="3747" w:type="dxa"/>
            <w:shd w:val="clear" w:color="auto" w:fill="E2EFD9" w:themeFill="accent6" w:themeFillTint="33"/>
          </w:tcPr>
          <w:p w14:paraId="58EF5F72" w14:textId="66F1F11E" w:rsidR="00F65952" w:rsidRPr="001723C9" w:rsidRDefault="005C3C87"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COT</w:t>
            </w:r>
            <w:r w:rsidR="00197E33">
              <w:rPr>
                <w:rFonts w:asciiTheme="minorHAnsi" w:hAnsiTheme="minorHAnsi" w:cstheme="minorHAnsi"/>
                <w:b w:val="0"/>
                <w:bCs/>
                <w:sz w:val="22"/>
                <w:szCs w:val="22"/>
              </w:rPr>
              <w:t>/COS</w:t>
            </w:r>
            <w:r>
              <w:rPr>
                <w:rFonts w:asciiTheme="minorHAnsi" w:hAnsiTheme="minorHAnsi" w:cstheme="minorHAnsi"/>
                <w:b w:val="0"/>
                <w:bCs/>
                <w:sz w:val="22"/>
                <w:szCs w:val="22"/>
              </w:rPr>
              <w:t xml:space="preserve"> process may erwquire further review/consideration.</w:t>
            </w:r>
            <w:r w:rsidR="00197E33">
              <w:rPr>
                <w:rFonts w:asciiTheme="minorHAnsi" w:hAnsiTheme="minorHAnsi" w:cstheme="minorHAnsi"/>
                <w:b w:val="0"/>
                <w:bCs/>
                <w:sz w:val="22"/>
                <w:szCs w:val="22"/>
              </w:rPr>
              <w:t xml:space="preserve"> How was the cot/COS issue dealt with prior to EDCM/CDCM?</w:t>
            </w:r>
          </w:p>
        </w:tc>
      </w:tr>
      <w:tr w:rsidR="00F65952" w:rsidRPr="001723C9" w14:paraId="5BA2550A" w14:textId="77777777" w:rsidTr="005B462E">
        <w:tc>
          <w:tcPr>
            <w:tcW w:w="1730" w:type="dxa"/>
          </w:tcPr>
          <w:p w14:paraId="5847EDF6"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5A80D05B" w14:textId="74238190" w:rsidR="00F65952" w:rsidRPr="001723C9" w:rsidRDefault="00F65952" w:rsidP="00F65952">
            <w:pPr>
              <w:pStyle w:val="ColumnHeading"/>
              <w:rPr>
                <w:rFonts w:asciiTheme="minorHAnsi" w:hAnsiTheme="minorHAnsi" w:cstheme="minorHAnsi"/>
                <w:b w:val="0"/>
                <w:bCs/>
                <w:sz w:val="22"/>
                <w:szCs w:val="22"/>
              </w:rPr>
            </w:pPr>
            <w:r w:rsidRPr="00F73832">
              <w:rPr>
                <w:rFonts w:asciiTheme="minorHAnsi" w:hAnsiTheme="minorHAnsi" w:cstheme="minorHAnsi"/>
                <w:b w:val="0"/>
                <w:bCs/>
                <w:sz w:val="22"/>
                <w:szCs w:val="22"/>
              </w:rPr>
              <w:t>Non-Confidential</w:t>
            </w:r>
          </w:p>
        </w:tc>
        <w:tc>
          <w:tcPr>
            <w:tcW w:w="7040" w:type="dxa"/>
          </w:tcPr>
          <w:p w14:paraId="16DB803D" w14:textId="77777777" w:rsidR="00023295"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 xml:space="preserve">No. We believe moving to the proposed solution would require substantial changes to existing processes and systems. </w:t>
            </w:r>
          </w:p>
          <w:p w14:paraId="4306DA67" w14:textId="77777777" w:rsidR="00023295" w:rsidRPr="00023295" w:rsidRDefault="00023295" w:rsidP="00023295"/>
          <w:p w14:paraId="7DD365CB" w14:textId="77777777" w:rsidR="00023295"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We would question if the number of network users exceeding their authorised capacity is significant enough to justify the costs involved in implementing such a change.</w:t>
            </w:r>
          </w:p>
          <w:p w14:paraId="7D4CBBB9" w14:textId="77777777" w:rsidR="00023295" w:rsidRPr="00023295" w:rsidRDefault="00023295" w:rsidP="00023295"/>
          <w:p w14:paraId="31F52172" w14:textId="77777777" w:rsidR="00023295"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There may be more pragmatic options available that would have the desired effect of deterring poor network behaviours, without the same consequential cost impact.</w:t>
            </w:r>
          </w:p>
          <w:p w14:paraId="0E3EB1D4" w14:textId="77777777" w:rsidR="00023295" w:rsidRPr="00023295" w:rsidRDefault="00023295" w:rsidP="00023295"/>
          <w:p w14:paraId="1AC612AB" w14:textId="2410E044" w:rsidR="00F65952" w:rsidRPr="0093655A"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The Alternative approach, that reintroduces the differential between the capacity tariff and excess capacity tariff, may be a more equitable solution for those customers that inadvertently breach their capacity or have a “one-</w:t>
            </w:r>
            <w:r w:rsidRPr="00023295">
              <w:rPr>
                <w:rFonts w:asciiTheme="minorHAnsi" w:hAnsiTheme="minorHAnsi" w:cstheme="minorHAnsi"/>
                <w:b w:val="0"/>
                <w:sz w:val="22"/>
                <w:szCs w:val="22"/>
              </w:rPr>
              <w:lastRenderedPageBreak/>
              <w:t>off” breach and avoids automatically locking network capacity unnecessarily.</w:t>
            </w:r>
          </w:p>
        </w:tc>
        <w:tc>
          <w:tcPr>
            <w:tcW w:w="3747" w:type="dxa"/>
            <w:shd w:val="clear" w:color="auto" w:fill="E2EFD9" w:themeFill="accent6" w:themeFillTint="33"/>
          </w:tcPr>
          <w:p w14:paraId="3BC6FB45" w14:textId="6980DD12" w:rsidR="00F65952" w:rsidRPr="001723C9" w:rsidRDefault="00F2589C"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Seek clarity on ‘</w:t>
            </w:r>
            <w:r w:rsidRPr="00023295">
              <w:rPr>
                <w:rFonts w:asciiTheme="minorHAnsi" w:hAnsiTheme="minorHAnsi" w:cstheme="minorHAnsi"/>
                <w:b w:val="0"/>
                <w:sz w:val="22"/>
                <w:szCs w:val="22"/>
              </w:rPr>
              <w:t>automatically locking network capacity unnecessarily.</w:t>
            </w:r>
            <w:r>
              <w:rPr>
                <w:rFonts w:asciiTheme="minorHAnsi" w:hAnsiTheme="minorHAnsi" w:cstheme="minorHAnsi"/>
                <w:b w:val="0"/>
                <w:sz w:val="22"/>
                <w:szCs w:val="22"/>
              </w:rPr>
              <w:t>’</w:t>
            </w:r>
          </w:p>
        </w:tc>
      </w:tr>
      <w:tr w:rsidR="00846BC9" w:rsidRPr="001723C9" w14:paraId="762FE002" w14:textId="77777777" w:rsidTr="005B462E">
        <w:tc>
          <w:tcPr>
            <w:tcW w:w="1730" w:type="dxa"/>
          </w:tcPr>
          <w:p w14:paraId="1FF813EA" w14:textId="2C20F00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0B20BB5F" w14:textId="06A4FF3C" w:rsidR="00846BC9" w:rsidRPr="00F73832"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1C0EA4E" w14:textId="3CEEB23A"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Should the customer exceed the capacity for more than one month within a preceding 12 months then we agree that the capacity charges should reflect that of the Maximum Demand for the forthcoming 12 months, unless the customer amends their MIC to reflect the new increased demand.</w:t>
            </w:r>
          </w:p>
        </w:tc>
        <w:tc>
          <w:tcPr>
            <w:tcW w:w="3747" w:type="dxa"/>
            <w:shd w:val="clear" w:color="auto" w:fill="E2EFD9" w:themeFill="accent6" w:themeFillTint="33"/>
          </w:tcPr>
          <w:p w14:paraId="60E96E0D"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74AE7BC" w14:textId="77777777" w:rsidTr="005B462E">
        <w:tc>
          <w:tcPr>
            <w:tcW w:w="1730" w:type="dxa"/>
          </w:tcPr>
          <w:p w14:paraId="67C23E42" w14:textId="02E0473D"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21DB5008" w14:textId="7119A99A" w:rsidR="00846BC9" w:rsidRPr="00F73832"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2F0D32E"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We note that the DCUSA sets out that following a user’s new connection or an increase in a MIC, then no reduction in that MIC will be allowed for a period of one year. The proposed solution would, as we understand it, create parity between </w:t>
            </w:r>
            <w:proofErr w:type="spellStart"/>
            <w:r w:rsidRPr="00AC1944">
              <w:rPr>
                <w:rFonts w:asciiTheme="minorHAnsi" w:hAnsiTheme="minorHAnsi" w:cstheme="minorHAnsi"/>
                <w:b w:val="0"/>
                <w:bCs/>
                <w:sz w:val="22"/>
                <w:szCs w:val="22"/>
                <w:lang w:val="en-GB"/>
              </w:rPr>
              <w:t>adhoc</w:t>
            </w:r>
            <w:proofErr w:type="spellEnd"/>
            <w:r w:rsidRPr="00AC1944">
              <w:rPr>
                <w:rFonts w:asciiTheme="minorHAnsi" w:hAnsiTheme="minorHAnsi" w:cstheme="minorHAnsi"/>
                <w:b w:val="0"/>
                <w:bCs/>
                <w:sz w:val="22"/>
                <w:szCs w:val="22"/>
                <w:lang w:val="en-GB"/>
              </w:rPr>
              <w:t xml:space="preserve"> capacity exceedance (to be discouraged) and the formal process for adjusting a user’s MIC (to be encouraged). This could remove the current lack of incentive for at least some users to formally request a MIC increase. </w:t>
            </w:r>
          </w:p>
          <w:p w14:paraId="156D5A45" w14:textId="77777777" w:rsidR="00AC1944" w:rsidRDefault="00AC1944" w:rsidP="00846BC9">
            <w:pPr>
              <w:pStyle w:val="ColumnHeading"/>
              <w:rPr>
                <w:rFonts w:asciiTheme="minorHAnsi" w:hAnsiTheme="minorHAnsi" w:cstheme="minorHAnsi"/>
                <w:b w:val="0"/>
                <w:bCs/>
                <w:sz w:val="22"/>
                <w:szCs w:val="22"/>
                <w:lang w:val="en-GB"/>
              </w:rPr>
            </w:pPr>
          </w:p>
          <w:p w14:paraId="15942C47"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Another reason that potentially supports the proposed solution is that, according to the consultation (4.4), “this is how some DNOs charged excess capacity prior to the implementation of the CDCM”, i.e. this solution has a precedent. </w:t>
            </w:r>
          </w:p>
          <w:p w14:paraId="16424DBA" w14:textId="77777777" w:rsidR="00AC1944" w:rsidRDefault="00AC1944" w:rsidP="00846BC9">
            <w:pPr>
              <w:pStyle w:val="ColumnHeading"/>
              <w:rPr>
                <w:rFonts w:asciiTheme="minorHAnsi" w:hAnsiTheme="minorHAnsi" w:cstheme="minorHAnsi"/>
                <w:b w:val="0"/>
                <w:bCs/>
                <w:sz w:val="22"/>
                <w:szCs w:val="22"/>
                <w:lang w:val="en-GB"/>
              </w:rPr>
            </w:pPr>
          </w:p>
          <w:p w14:paraId="62C40925"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However, we think that </w:t>
            </w:r>
          </w:p>
          <w:p w14:paraId="411A818C" w14:textId="77777777" w:rsidR="00AC1944" w:rsidRDefault="00AC1944" w:rsidP="00AC1944">
            <w:pPr>
              <w:pStyle w:val="ColumnHeading"/>
              <w:rPr>
                <w:rFonts w:asciiTheme="minorHAnsi" w:hAnsiTheme="minorHAnsi" w:cstheme="minorHAnsi"/>
                <w:b w:val="0"/>
                <w:bCs/>
                <w:sz w:val="22"/>
                <w:szCs w:val="22"/>
                <w:lang w:val="en-GB"/>
              </w:rPr>
            </w:pPr>
          </w:p>
          <w:p w14:paraId="10C2BDC5" w14:textId="77777777" w:rsidR="00AC1944" w:rsidRDefault="00AC1944" w:rsidP="00AC1944">
            <w:pPr>
              <w:pStyle w:val="ColumnHeading"/>
              <w:numPr>
                <w:ilvl w:val="0"/>
                <w:numId w:val="8"/>
              </w:numPr>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the proposed parity between </w:t>
            </w:r>
            <w:proofErr w:type="spellStart"/>
            <w:r w:rsidRPr="00AC1944">
              <w:rPr>
                <w:rFonts w:asciiTheme="minorHAnsi" w:hAnsiTheme="minorHAnsi" w:cstheme="minorHAnsi"/>
                <w:b w:val="0"/>
                <w:bCs/>
                <w:sz w:val="22"/>
                <w:szCs w:val="22"/>
                <w:lang w:val="en-GB"/>
              </w:rPr>
              <w:t>adhoc</w:t>
            </w:r>
            <w:proofErr w:type="spellEnd"/>
            <w:r w:rsidRPr="00AC1944">
              <w:rPr>
                <w:rFonts w:asciiTheme="minorHAnsi" w:hAnsiTheme="minorHAnsi" w:cstheme="minorHAnsi"/>
                <w:b w:val="0"/>
                <w:bCs/>
                <w:sz w:val="22"/>
                <w:szCs w:val="22"/>
                <w:lang w:val="en-GB"/>
              </w:rPr>
              <w:t xml:space="preserve"> exceedance and the formal process for adjusting a user’s MIC may not provide a sufficient incentive for some users to ‘do the right thing’. We therefore think that the period for applying the Exceeded Capacity charge should be more than 12 months (e.g. 15 months), to ensure the charge </w:t>
            </w:r>
            <w:r w:rsidRPr="00AC1944">
              <w:rPr>
                <w:rFonts w:asciiTheme="minorHAnsi" w:hAnsiTheme="minorHAnsi" w:cstheme="minorHAnsi"/>
                <w:b w:val="0"/>
                <w:bCs/>
                <w:sz w:val="22"/>
                <w:szCs w:val="22"/>
                <w:lang w:val="en-GB"/>
              </w:rPr>
              <w:lastRenderedPageBreak/>
              <w:t xml:space="preserve">clearly signals to users that increasing their MIC is the lower-cost option in comparison to </w:t>
            </w:r>
            <w:proofErr w:type="spellStart"/>
            <w:r w:rsidRPr="00AC1944">
              <w:rPr>
                <w:rFonts w:asciiTheme="minorHAnsi" w:hAnsiTheme="minorHAnsi" w:cstheme="minorHAnsi"/>
                <w:b w:val="0"/>
                <w:bCs/>
                <w:sz w:val="22"/>
                <w:szCs w:val="22"/>
                <w:lang w:val="en-GB"/>
              </w:rPr>
              <w:t>adhoc</w:t>
            </w:r>
            <w:proofErr w:type="spellEnd"/>
            <w:r w:rsidRPr="00AC1944">
              <w:rPr>
                <w:rFonts w:asciiTheme="minorHAnsi" w:hAnsiTheme="minorHAnsi" w:cstheme="minorHAnsi"/>
                <w:b w:val="0"/>
                <w:bCs/>
                <w:sz w:val="22"/>
                <w:szCs w:val="22"/>
                <w:lang w:val="en-GB"/>
              </w:rPr>
              <w:t xml:space="preserve"> exceedance. </w:t>
            </w:r>
          </w:p>
          <w:p w14:paraId="3058C583" w14:textId="77777777" w:rsidR="00AC1944" w:rsidRDefault="00AC1944" w:rsidP="00AC1944">
            <w:pPr>
              <w:pStyle w:val="ColumnHeading"/>
              <w:ind w:left="720"/>
              <w:rPr>
                <w:rFonts w:asciiTheme="minorHAnsi" w:hAnsiTheme="minorHAnsi" w:cstheme="minorHAnsi"/>
                <w:b w:val="0"/>
                <w:bCs/>
                <w:sz w:val="22"/>
                <w:szCs w:val="22"/>
                <w:lang w:val="en-GB"/>
              </w:rPr>
            </w:pPr>
          </w:p>
          <w:p w14:paraId="65C45B5D" w14:textId="77777777" w:rsidR="00AC1944" w:rsidRDefault="00AC1944" w:rsidP="00AC1944">
            <w:pPr>
              <w:pStyle w:val="ColumnHeading"/>
              <w:ind w:left="720"/>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(It would be useful to see some analysis from those DNOs who have previously used the proposed approach of applying the charge over a 12-month period, to establish whether this was sufficient to lead to the desired outcomes.) </w:t>
            </w:r>
          </w:p>
          <w:p w14:paraId="31ED99D7" w14:textId="77777777" w:rsidR="00AC1944" w:rsidRDefault="00AC1944" w:rsidP="00AC1944">
            <w:pPr>
              <w:pStyle w:val="ColumnHeading"/>
              <w:ind w:left="720"/>
              <w:rPr>
                <w:rFonts w:asciiTheme="minorHAnsi" w:hAnsiTheme="minorHAnsi" w:cstheme="minorHAnsi"/>
                <w:b w:val="0"/>
                <w:bCs/>
                <w:sz w:val="22"/>
                <w:szCs w:val="22"/>
                <w:lang w:val="en-GB"/>
              </w:rPr>
            </w:pPr>
          </w:p>
          <w:p w14:paraId="3F1936C0" w14:textId="38F1DE65" w:rsidR="00AC1944" w:rsidRPr="00AC1944" w:rsidRDefault="00AC1944" w:rsidP="00AC1944">
            <w:pPr>
              <w:pStyle w:val="ColumnHeading"/>
              <w:ind w:left="720"/>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and </w:t>
            </w:r>
          </w:p>
          <w:p w14:paraId="1674B353" w14:textId="77777777" w:rsidR="00AC1944" w:rsidRDefault="00AC1944" w:rsidP="00846BC9">
            <w:pPr>
              <w:pStyle w:val="ColumnHeading"/>
              <w:rPr>
                <w:rFonts w:asciiTheme="minorHAnsi" w:hAnsiTheme="minorHAnsi" w:cstheme="minorHAnsi"/>
                <w:b w:val="0"/>
                <w:bCs/>
                <w:sz w:val="22"/>
                <w:szCs w:val="22"/>
                <w:lang w:val="en-GB"/>
              </w:rPr>
            </w:pPr>
          </w:p>
          <w:p w14:paraId="759A0584" w14:textId="3C5AA6D3" w:rsidR="00846BC9" w:rsidRPr="00DB770B" w:rsidRDefault="00AC1944" w:rsidP="00AC1944">
            <w:pPr>
              <w:pStyle w:val="ColumnHeading"/>
              <w:numPr>
                <w:ilvl w:val="0"/>
                <w:numId w:val="8"/>
              </w:numPr>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other solutions should also be explored more fully than has been the case. A good starting point would be to see some analysis from DNOs who used other methods for calculating their exceeded capacity charges.</w:t>
            </w:r>
          </w:p>
        </w:tc>
        <w:tc>
          <w:tcPr>
            <w:tcW w:w="3747" w:type="dxa"/>
            <w:shd w:val="clear" w:color="auto" w:fill="E2EFD9" w:themeFill="accent6" w:themeFillTint="33"/>
          </w:tcPr>
          <w:p w14:paraId="30D28527" w14:textId="45B667D0" w:rsidR="00846BC9" w:rsidRPr="001723C9" w:rsidRDefault="002C7C1F"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Further consideration as to whether 12 months is long enough to encorouge the correct behaviour.</w:t>
            </w:r>
          </w:p>
        </w:tc>
      </w:tr>
      <w:tr w:rsidR="00846BC9" w:rsidRPr="001723C9" w14:paraId="06E1395B" w14:textId="77777777" w:rsidTr="005B462E">
        <w:tc>
          <w:tcPr>
            <w:tcW w:w="1730" w:type="dxa"/>
          </w:tcPr>
          <w:p w14:paraId="7DA54BB4"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495627E2" w14:textId="112E7351" w:rsidR="00846BC9" w:rsidRPr="001723C9" w:rsidRDefault="00846BC9" w:rsidP="00846BC9">
            <w:pPr>
              <w:pStyle w:val="ColumnHeading"/>
              <w:rPr>
                <w:rFonts w:asciiTheme="minorHAnsi" w:hAnsiTheme="minorHAnsi" w:cstheme="minorHAnsi"/>
                <w:b w:val="0"/>
                <w:bCs/>
                <w:sz w:val="22"/>
                <w:szCs w:val="22"/>
              </w:rPr>
            </w:pPr>
            <w:r w:rsidRPr="00F73832">
              <w:rPr>
                <w:rFonts w:asciiTheme="minorHAnsi" w:hAnsiTheme="minorHAnsi" w:cstheme="minorHAnsi"/>
                <w:b w:val="0"/>
                <w:bCs/>
                <w:sz w:val="22"/>
                <w:szCs w:val="22"/>
              </w:rPr>
              <w:t>Non-Confidential</w:t>
            </w:r>
          </w:p>
        </w:tc>
        <w:tc>
          <w:tcPr>
            <w:tcW w:w="7040" w:type="dxa"/>
          </w:tcPr>
          <w:p w14:paraId="68D93E52" w14:textId="29EB3497" w:rsidR="00846BC9"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We believe this would help discourage customers from using as much excess capacity however there are some potential issues:</w:t>
            </w:r>
          </w:p>
          <w:p w14:paraId="14B8558A" w14:textId="77777777" w:rsidR="00846BC9" w:rsidRPr="00DB770B" w:rsidRDefault="00846BC9" w:rsidP="00846BC9">
            <w:pPr>
              <w:rPr>
                <w:lang w:val="en-GB"/>
              </w:rPr>
            </w:pPr>
          </w:p>
          <w:p w14:paraId="7138C5B9" w14:textId="77777777" w:rsidR="00846BC9" w:rsidRPr="00DB770B"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 xml:space="preserve">• If the customer had exceeded capacity in month 1 would the DNO need to </w:t>
            </w:r>
          </w:p>
          <w:p w14:paraId="014DAFA8" w14:textId="3E4A7CFA" w:rsidR="00846BC9"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ensure that excess was available for the following 11 months as the customer would be paying for it, this could cause issues during periods where spare capacity is tighter.</w:t>
            </w:r>
          </w:p>
          <w:p w14:paraId="5DD8F6A0" w14:textId="77777777" w:rsidR="00846BC9" w:rsidRPr="00DB770B" w:rsidRDefault="00846BC9" w:rsidP="00846BC9">
            <w:pPr>
              <w:rPr>
                <w:lang w:val="en-GB"/>
              </w:rPr>
            </w:pPr>
          </w:p>
          <w:p w14:paraId="1C587768" w14:textId="77777777" w:rsidR="00846BC9" w:rsidRPr="00DB770B"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 xml:space="preserve">• Will it impact customers who are frequently exceeding capacity enough </w:t>
            </w:r>
          </w:p>
          <w:p w14:paraId="08E98D2E" w14:textId="77777777" w:rsidR="00846BC9" w:rsidRPr="00DB770B"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 xml:space="preserve">compared to the current process or would it mainly impact customers who </w:t>
            </w:r>
          </w:p>
          <w:p w14:paraId="778493D4" w14:textId="5D7CC6CD" w:rsidR="00846BC9"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lastRenderedPageBreak/>
              <w:t>occasionally exceed capacity. The customer who exceeds 10 months out of 12 is less impacted by this change than the customer who only exceeds</w:t>
            </w:r>
            <w:r>
              <w:rPr>
                <w:rFonts w:asciiTheme="minorHAnsi" w:hAnsiTheme="minorHAnsi" w:cstheme="minorHAnsi"/>
                <w:b w:val="0"/>
                <w:bCs/>
                <w:sz w:val="22"/>
                <w:szCs w:val="22"/>
                <w:lang w:val="en-GB"/>
              </w:rPr>
              <w:t xml:space="preserve"> </w:t>
            </w:r>
            <w:r w:rsidRPr="00DB770B">
              <w:rPr>
                <w:rFonts w:asciiTheme="minorHAnsi" w:hAnsiTheme="minorHAnsi" w:cstheme="minorHAnsi"/>
                <w:b w:val="0"/>
                <w:bCs/>
                <w:sz w:val="22"/>
                <w:szCs w:val="22"/>
                <w:lang w:val="en-GB"/>
              </w:rPr>
              <w:t>once a year.</w:t>
            </w:r>
          </w:p>
          <w:p w14:paraId="34F71E1C" w14:textId="77777777" w:rsidR="00846BC9" w:rsidRPr="00DB770B" w:rsidRDefault="00846BC9" w:rsidP="00846BC9">
            <w:pPr>
              <w:rPr>
                <w:lang w:val="en-GB"/>
              </w:rPr>
            </w:pPr>
          </w:p>
          <w:p w14:paraId="0944EDBC" w14:textId="5EE30967"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 Can it really be argued as being cost reflective if the customer is charged a full year for a single month’s excess, if there’s no additional excess then there’s no additional costs that the later months cover.</w:t>
            </w:r>
          </w:p>
        </w:tc>
        <w:tc>
          <w:tcPr>
            <w:tcW w:w="3747" w:type="dxa"/>
            <w:shd w:val="clear" w:color="auto" w:fill="E2EFD9" w:themeFill="accent6" w:themeFillTint="33"/>
          </w:tcPr>
          <w:p w14:paraId="49DCFB6E" w14:textId="77777777" w:rsidR="00846BC9" w:rsidRDefault="002C7C1F"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Point one-this is a charging mechanism and is atempting to charge the customer the cost of going over their MIC.</w:t>
            </w:r>
          </w:p>
          <w:p w14:paraId="3C51A5E6" w14:textId="77777777" w:rsidR="00371019" w:rsidRDefault="00371019" w:rsidP="00371019">
            <w:r>
              <w:t>Point two-This to be considered when discussing the length of the excess charges (less or more than 12 months) to ensure that it incentivises the correct customers.</w:t>
            </w:r>
          </w:p>
          <w:p w14:paraId="1251DAD3" w14:textId="77777777" w:rsidR="00371019" w:rsidRDefault="00371019" w:rsidP="00371019">
            <w:r>
              <w:t>Third point-</w:t>
            </w:r>
            <w:r w:rsidR="00A34C24">
              <w:t>Further consideration required to cost refelctivity.</w:t>
            </w:r>
          </w:p>
          <w:p w14:paraId="3460F69A" w14:textId="1EAB77B3" w:rsidR="00A34C24" w:rsidRPr="00371019" w:rsidRDefault="00A34C24" w:rsidP="00371019">
            <w:r>
              <w:rPr>
                <w:rFonts w:asciiTheme="minorHAnsi" w:hAnsiTheme="minorHAnsi" w:cstheme="minorHAnsi"/>
                <w:b/>
                <w:bCs/>
                <w:sz w:val="22"/>
                <w:szCs w:val="22"/>
              </w:rPr>
              <w:lastRenderedPageBreak/>
              <w:t>The CP doesnt prohibit working with the capactiy charge as well as the excess charge. Its specificly about both.</w:t>
            </w:r>
          </w:p>
        </w:tc>
      </w:tr>
      <w:tr w:rsidR="00846BC9" w:rsidRPr="001723C9" w14:paraId="28F06F1B" w14:textId="77777777" w:rsidTr="005B462E">
        <w:tc>
          <w:tcPr>
            <w:tcW w:w="1730" w:type="dxa"/>
          </w:tcPr>
          <w:p w14:paraId="09620F82"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UKPN</w:t>
            </w:r>
          </w:p>
        </w:tc>
        <w:tc>
          <w:tcPr>
            <w:tcW w:w="1559" w:type="dxa"/>
          </w:tcPr>
          <w:p w14:paraId="11F9B197" w14:textId="3E0AA399" w:rsidR="00846BC9" w:rsidRPr="001723C9" w:rsidRDefault="00846BC9" w:rsidP="00846BC9">
            <w:pPr>
              <w:pStyle w:val="ColumnHeading"/>
              <w:rPr>
                <w:rFonts w:asciiTheme="minorHAnsi" w:hAnsiTheme="minorHAnsi" w:cstheme="minorHAnsi"/>
                <w:b w:val="0"/>
                <w:bCs/>
                <w:sz w:val="22"/>
                <w:szCs w:val="22"/>
              </w:rPr>
            </w:pPr>
            <w:r w:rsidRPr="00F73832">
              <w:rPr>
                <w:rFonts w:asciiTheme="minorHAnsi" w:hAnsiTheme="minorHAnsi" w:cstheme="minorHAnsi"/>
                <w:b w:val="0"/>
                <w:bCs/>
                <w:sz w:val="22"/>
                <w:szCs w:val="22"/>
              </w:rPr>
              <w:t>Non-Confidential</w:t>
            </w:r>
          </w:p>
        </w:tc>
        <w:tc>
          <w:tcPr>
            <w:tcW w:w="7040" w:type="dxa"/>
          </w:tcPr>
          <w:p w14:paraId="27BFBF52" w14:textId="77777777" w:rsidR="00846BC9"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Yes, since the exceeded capacity charge was set to the same as the capacity charge (</w:t>
            </w:r>
            <w:proofErr w:type="gramStart"/>
            <w:r w:rsidRPr="005C7D70">
              <w:rPr>
                <w:rFonts w:asciiTheme="minorHAnsi" w:hAnsiTheme="minorHAnsi" w:cstheme="minorHAnsi"/>
                <w:b w:val="0"/>
                <w:bCs/>
                <w:sz w:val="22"/>
                <w:szCs w:val="22"/>
                <w:lang w:val="en-GB"/>
              </w:rPr>
              <w:t>as a result of</w:t>
            </w:r>
            <w:proofErr w:type="gramEnd"/>
            <w:r w:rsidRPr="005C7D70">
              <w:rPr>
                <w:rFonts w:asciiTheme="minorHAnsi" w:hAnsiTheme="minorHAnsi" w:cstheme="minorHAnsi"/>
                <w:b w:val="0"/>
                <w:bCs/>
                <w:sz w:val="22"/>
                <w:szCs w:val="22"/>
                <w:lang w:val="en-GB"/>
              </w:rPr>
              <w:t xml:space="preserve"> the removal of Customer Contribution from the calculation) we have seen an increase in Customers happy to exceed the agreed MIC and pay the excess for that month. This encourages use of capacity </w:t>
            </w:r>
            <w:proofErr w:type="gramStart"/>
            <w:r w:rsidRPr="005C7D70">
              <w:rPr>
                <w:rFonts w:asciiTheme="minorHAnsi" w:hAnsiTheme="minorHAnsi" w:cstheme="minorHAnsi"/>
                <w:b w:val="0"/>
                <w:bCs/>
                <w:sz w:val="22"/>
                <w:szCs w:val="22"/>
                <w:lang w:val="en-GB"/>
              </w:rPr>
              <w:t>in excess of</w:t>
            </w:r>
            <w:proofErr w:type="gramEnd"/>
            <w:r w:rsidRPr="005C7D70">
              <w:rPr>
                <w:rFonts w:asciiTheme="minorHAnsi" w:hAnsiTheme="minorHAnsi" w:cstheme="minorHAnsi"/>
                <w:b w:val="0"/>
                <w:bCs/>
                <w:sz w:val="22"/>
                <w:szCs w:val="22"/>
                <w:lang w:val="en-GB"/>
              </w:rPr>
              <w:t xml:space="preserve"> a site’s MIC, which is sub-optimal behaviour </w:t>
            </w:r>
            <w:proofErr w:type="gramStart"/>
            <w:r w:rsidRPr="005C7D70">
              <w:rPr>
                <w:rFonts w:asciiTheme="minorHAnsi" w:hAnsiTheme="minorHAnsi" w:cstheme="minorHAnsi"/>
                <w:b w:val="0"/>
                <w:bCs/>
                <w:sz w:val="22"/>
                <w:szCs w:val="22"/>
                <w:lang w:val="en-GB"/>
              </w:rPr>
              <w:t>as a result of</w:t>
            </w:r>
            <w:proofErr w:type="gramEnd"/>
            <w:r w:rsidRPr="005C7D70">
              <w:rPr>
                <w:rFonts w:asciiTheme="minorHAnsi" w:hAnsiTheme="minorHAnsi" w:cstheme="minorHAnsi"/>
                <w:b w:val="0"/>
                <w:bCs/>
                <w:sz w:val="22"/>
                <w:szCs w:val="22"/>
                <w:lang w:val="en-GB"/>
              </w:rPr>
              <w:t xml:space="preserve"> the current processes. </w:t>
            </w:r>
          </w:p>
          <w:p w14:paraId="654C746F" w14:textId="77777777" w:rsidR="00846BC9" w:rsidRPr="005C7D70" w:rsidRDefault="00846BC9" w:rsidP="00846BC9">
            <w:pPr>
              <w:rPr>
                <w:lang w:val="en-GB"/>
              </w:rPr>
            </w:pPr>
          </w:p>
          <w:p w14:paraId="331EACA6" w14:textId="021B7A32"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We believe that charging the excess capacity charge for 12 months would give the right messages/cost signals to influence customer behaviour.</w:t>
            </w:r>
          </w:p>
        </w:tc>
        <w:tc>
          <w:tcPr>
            <w:tcW w:w="3747" w:type="dxa"/>
            <w:shd w:val="clear" w:color="auto" w:fill="E2EFD9" w:themeFill="accent6" w:themeFillTint="33"/>
          </w:tcPr>
          <w:p w14:paraId="11E63CE6" w14:textId="77777777" w:rsidR="00846BC9" w:rsidRDefault="00A34C24"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 that it was the capacity that was increased to match excess charge.</w:t>
            </w:r>
          </w:p>
          <w:p w14:paraId="7578FEF3" w14:textId="77777777" w:rsidR="00445885" w:rsidRDefault="00445885" w:rsidP="00445885">
            <w:r>
              <w:t>It was hihgluighted that it may be possinble to look back to pre diferential behav</w:t>
            </w:r>
            <w:r w:rsidR="00A86CB2">
              <w:t>oiur</w:t>
            </w:r>
            <w:r>
              <w:t xml:space="preserve"> (2018) to see if </w:t>
            </w:r>
            <w:r w:rsidR="00A86CB2">
              <w:t xml:space="preserve">behaviour </w:t>
            </w:r>
            <w:r>
              <w:t>changed at that point or any other triggers that may have drove changes in bahavoiur</w:t>
            </w:r>
            <w:r w:rsidR="00A86CB2">
              <w:t>.</w:t>
            </w:r>
          </w:p>
          <w:p w14:paraId="3AD21806" w14:textId="33DB95A9" w:rsidR="000F66DD" w:rsidRPr="00445885" w:rsidRDefault="000F66DD" w:rsidP="00445885">
            <w:r w:rsidRPr="000F66DD">
              <w:rPr>
                <w:lang w:val="en-GB"/>
              </w:rPr>
              <w:t>It was noted that the Access-SCR related change which makes the standard capacity charge and the exceeded capacity charge equal is not coming into effect until 2025/26. It therefore seems unlikely that the effect UKPN describes is based on the change.</w:t>
            </w:r>
            <w:r>
              <w:rPr>
                <w:lang w:val="en-GB"/>
              </w:rPr>
              <w:t xml:space="preserve"> It was noted that the CP does provide some examples of sub optimal customer behaviour in the current year and </w:t>
            </w:r>
            <w:r>
              <w:rPr>
                <w:lang w:val="en-GB"/>
              </w:rPr>
              <w:lastRenderedPageBreak/>
              <w:t>concerns about charges in the future.</w:t>
            </w:r>
          </w:p>
        </w:tc>
      </w:tr>
      <w:tr w:rsidR="00846BC9" w:rsidRPr="001723C9" w14:paraId="20493392" w14:textId="77777777" w:rsidTr="005B462E">
        <w:tc>
          <w:tcPr>
            <w:tcW w:w="14076" w:type="dxa"/>
            <w:gridSpan w:val="4"/>
            <w:shd w:val="clear" w:color="auto" w:fill="E2EFD9" w:themeFill="accent6" w:themeFillTint="33"/>
          </w:tcPr>
          <w:p w14:paraId="24D6C6AC" w14:textId="27ACFF0B" w:rsidR="00F12E5F" w:rsidRPr="00F12E5F" w:rsidRDefault="00846BC9" w:rsidP="00F12E5F">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Working Group Conclusions: </w:t>
            </w:r>
            <w:r w:rsidR="00F12E5F" w:rsidRPr="00F12E5F">
              <w:rPr>
                <w:rFonts w:asciiTheme="minorHAnsi" w:hAnsiTheme="minorHAnsi" w:cstheme="minorHAnsi"/>
                <w:bCs/>
                <w:sz w:val="22"/>
                <w:szCs w:val="22"/>
                <w:lang w:val="en-GB"/>
              </w:rPr>
              <w:t>Six responders stated that they believed s solution of charging excess capacity charges based on the highest MD for the previous months could drive more optimal customer behaviour.</w:t>
            </w:r>
          </w:p>
          <w:p w14:paraId="4287271E" w14:textId="77777777" w:rsid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 xml:space="preserve">A number of those who agreed however did caveat their response by stating that they didn’t think that one off </w:t>
            </w:r>
            <w:proofErr w:type="gramStart"/>
            <w:r w:rsidRPr="00F12E5F">
              <w:rPr>
                <w:rFonts w:asciiTheme="minorHAnsi" w:hAnsiTheme="minorHAnsi" w:cstheme="minorHAnsi"/>
                <w:bCs/>
                <w:sz w:val="22"/>
                <w:szCs w:val="22"/>
                <w:lang w:val="en-GB"/>
              </w:rPr>
              <w:t>exceeders</w:t>
            </w:r>
            <w:proofErr w:type="gramEnd"/>
            <w:r w:rsidRPr="00F12E5F">
              <w:rPr>
                <w:rFonts w:asciiTheme="minorHAnsi" w:hAnsiTheme="minorHAnsi" w:cstheme="minorHAnsi"/>
                <w:bCs/>
                <w:sz w:val="22"/>
                <w:szCs w:val="22"/>
                <w:lang w:val="en-GB"/>
              </w:rPr>
              <w:t xml:space="preserve"> should be penalised for 12 months.</w:t>
            </w:r>
          </w:p>
          <w:p w14:paraId="68A8A63C" w14:textId="28BBAA76"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Another who believed the solution could drive more optimal behaviour also stated they’d like to see further analysis on alternative solutions.</w:t>
            </w:r>
          </w:p>
          <w:p w14:paraId="28FE2D21" w14:textId="35C0E603"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This responder also queried if charging the excess capacity for 12 months was a strong enough pricing message and asked if the period for charging the excess should be longer than 12 months.</w:t>
            </w:r>
          </w:p>
          <w:p w14:paraId="3A1622F4" w14:textId="73A61CCF"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Another noted that cost reflectivity may be an issue as the process would lead to sites being charged for excess capacity for months where there was no exceedance.</w:t>
            </w:r>
          </w:p>
          <w:p w14:paraId="7E47CDEB" w14:textId="2C0915B0"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Two responders stated they didn’t believe the solution was suitable.</w:t>
            </w:r>
          </w:p>
          <w:p w14:paraId="23B3A410" w14:textId="4CF4FBB6"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One noted that for sites that repeatedly exceed their capacity, charging the excess for 12 months wouldn’t really be an incentive to remain within their MIC as they’d be already paying for the excess capacity anyway</w:t>
            </w:r>
          </w:p>
          <w:p w14:paraId="3DA9BEAC" w14:textId="156D1B5F"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They also went on to note that the solution could penalise customer on a change of tenancy as they would be paying for the excess capacity which may have been caused by the previous occupier.</w:t>
            </w:r>
          </w:p>
          <w:p w14:paraId="3404A38D" w14:textId="7B58CB19" w:rsidR="00F12E5F" w:rsidRPr="00F12E5F" w:rsidRDefault="00F12E5F" w:rsidP="00F12E5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This responder also</w:t>
            </w:r>
            <w:r w:rsidRPr="00F12E5F">
              <w:rPr>
                <w:rFonts w:asciiTheme="minorHAnsi" w:hAnsiTheme="minorHAnsi" w:cstheme="minorHAnsi"/>
                <w:bCs/>
                <w:sz w:val="22"/>
                <w:szCs w:val="22"/>
                <w:lang w:val="en-GB"/>
              </w:rPr>
              <w:t xml:space="preserve"> stated that it didn’t feel fair that a site who exceeds their capacity once should be charged for this for the next 12 months.</w:t>
            </w:r>
          </w:p>
          <w:p w14:paraId="3103349C" w14:textId="08832E13"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The other responder who felt this solution wasn’t suitable stated that the change would lead to substantial changes to systems and process and that they preferred the approach that reintroduces the differential between the capacity tariff and excess capacity tariff.</w:t>
            </w:r>
          </w:p>
          <w:p w14:paraId="653E40CF" w14:textId="096C865E" w:rsidR="00846BC9" w:rsidRPr="001723C9" w:rsidRDefault="00F12E5F" w:rsidP="00846BC9">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One responder stated that whilst they believed there needed to be an incentive to stop customers exceeding their capacity, they were unable to assess whether charging the excess for a full 12 months is reasonable and costs reflective.</w:t>
            </w:r>
          </w:p>
        </w:tc>
      </w:tr>
    </w:tbl>
    <w:p w14:paraId="40FE6978"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4116BAF8"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00FA4D9"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333C9C3" w14:textId="0719A829"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Would an alternative process that reintroduces the differential between the capacity tariff and excess capacity tariff be a more suitable solution e.g. by doubling the excess capacity tariff? Is there a cost reflective way to do this? Please provide details and rationale.</w:t>
            </w:r>
          </w:p>
        </w:tc>
        <w:tc>
          <w:tcPr>
            <w:tcW w:w="3747" w:type="dxa"/>
            <w:shd w:val="clear" w:color="auto" w:fill="E2EFD9" w:themeFill="accent6" w:themeFillTint="33"/>
          </w:tcPr>
          <w:p w14:paraId="44D008C5"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463FF9FB" w14:textId="77777777" w:rsidTr="005B462E">
        <w:tc>
          <w:tcPr>
            <w:tcW w:w="1730" w:type="dxa"/>
          </w:tcPr>
          <w:p w14:paraId="56C84A3F"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5CD549CC" w14:textId="5F7B69BA"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7D7CFB0F" w14:textId="52F4CC34"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No, we believe the proposed approach is reasonable and fair.</w:t>
            </w:r>
          </w:p>
        </w:tc>
        <w:tc>
          <w:tcPr>
            <w:tcW w:w="3747" w:type="dxa"/>
            <w:shd w:val="clear" w:color="auto" w:fill="E2EFD9" w:themeFill="accent6" w:themeFillTint="33"/>
          </w:tcPr>
          <w:p w14:paraId="3EB87A7E"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75B561F0" w14:textId="77777777" w:rsidTr="005B462E">
        <w:tc>
          <w:tcPr>
            <w:tcW w:w="1730" w:type="dxa"/>
          </w:tcPr>
          <w:p w14:paraId="1F65F398"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53EC6CB" w14:textId="5D2D7E28" w:rsidR="00F65952" w:rsidRPr="001723C9" w:rsidRDefault="00F65952" w:rsidP="00F65952">
            <w:pPr>
              <w:pStyle w:val="ColumnHeading"/>
              <w:rPr>
                <w:rFonts w:asciiTheme="minorHAnsi" w:hAnsiTheme="minorHAnsi" w:cstheme="minorHAnsi"/>
                <w:b w:val="0"/>
                <w:bCs/>
                <w:sz w:val="22"/>
                <w:szCs w:val="22"/>
              </w:rPr>
            </w:pPr>
            <w:r w:rsidRPr="00A61183">
              <w:rPr>
                <w:rFonts w:asciiTheme="minorHAnsi" w:hAnsiTheme="minorHAnsi" w:cstheme="minorHAnsi"/>
                <w:b w:val="0"/>
                <w:bCs/>
                <w:sz w:val="22"/>
                <w:szCs w:val="22"/>
              </w:rPr>
              <w:t>Non-Confidential</w:t>
            </w:r>
          </w:p>
        </w:tc>
        <w:tc>
          <w:tcPr>
            <w:tcW w:w="7040" w:type="dxa"/>
          </w:tcPr>
          <w:p w14:paraId="745D128A" w14:textId="17A2DD6F"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This could be an alternative however without the data mentioned in the answer to question 3 we are unable to provide a view. Any agreed solution must be reasonable and be able to be justified to consumers.</w:t>
            </w:r>
          </w:p>
        </w:tc>
        <w:tc>
          <w:tcPr>
            <w:tcW w:w="3747" w:type="dxa"/>
            <w:shd w:val="clear" w:color="auto" w:fill="E2EFD9" w:themeFill="accent6" w:themeFillTint="33"/>
          </w:tcPr>
          <w:p w14:paraId="319D2C33"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3EBD258" w14:textId="77777777" w:rsidTr="005B462E">
        <w:tc>
          <w:tcPr>
            <w:tcW w:w="1730" w:type="dxa"/>
          </w:tcPr>
          <w:p w14:paraId="4A7B23FB"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71202E52" w14:textId="354DB53A" w:rsidR="00F65952" w:rsidRPr="001723C9" w:rsidRDefault="00F65952" w:rsidP="00F65952">
            <w:pPr>
              <w:pStyle w:val="ColumnHeading"/>
              <w:rPr>
                <w:rFonts w:asciiTheme="minorHAnsi" w:hAnsiTheme="minorHAnsi" w:cstheme="minorHAnsi"/>
                <w:b w:val="0"/>
                <w:bCs/>
                <w:sz w:val="22"/>
                <w:szCs w:val="22"/>
                <w:lang w:val="en-GB"/>
              </w:rPr>
            </w:pPr>
            <w:r w:rsidRPr="00A61183">
              <w:rPr>
                <w:rFonts w:asciiTheme="minorHAnsi" w:hAnsiTheme="minorHAnsi" w:cstheme="minorHAnsi"/>
                <w:b w:val="0"/>
                <w:bCs/>
                <w:sz w:val="22"/>
                <w:szCs w:val="22"/>
              </w:rPr>
              <w:t>Non-Confidential</w:t>
            </w:r>
          </w:p>
        </w:tc>
        <w:tc>
          <w:tcPr>
            <w:tcW w:w="7040" w:type="dxa"/>
          </w:tcPr>
          <w:p w14:paraId="7A9DED55" w14:textId="74BEA3F9"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An alternative approach whereby the charge is doubled is less harsh however, it will have to be a policy decision as it is not cost reflective.</w:t>
            </w:r>
          </w:p>
        </w:tc>
        <w:tc>
          <w:tcPr>
            <w:tcW w:w="3747" w:type="dxa"/>
            <w:shd w:val="clear" w:color="auto" w:fill="E2EFD9" w:themeFill="accent6" w:themeFillTint="33"/>
          </w:tcPr>
          <w:p w14:paraId="17A6C54D"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1ACEC103" w14:textId="77777777" w:rsidTr="005B462E">
        <w:tc>
          <w:tcPr>
            <w:tcW w:w="1730" w:type="dxa"/>
          </w:tcPr>
          <w:p w14:paraId="38F15CBA" w14:textId="71528DFD"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1E7F0EA2" w14:textId="012E43BF" w:rsidR="00F65952" w:rsidRPr="001723C9" w:rsidRDefault="00F65952" w:rsidP="00F65952">
            <w:pPr>
              <w:pStyle w:val="ColumnHeading"/>
              <w:rPr>
                <w:rFonts w:asciiTheme="minorHAnsi" w:hAnsiTheme="minorHAnsi" w:cstheme="minorHAnsi"/>
                <w:b w:val="0"/>
                <w:bCs/>
                <w:sz w:val="22"/>
                <w:szCs w:val="22"/>
              </w:rPr>
            </w:pPr>
            <w:r w:rsidRPr="00A61183">
              <w:rPr>
                <w:rFonts w:asciiTheme="minorHAnsi" w:hAnsiTheme="minorHAnsi" w:cstheme="minorHAnsi"/>
                <w:b w:val="0"/>
                <w:bCs/>
                <w:sz w:val="22"/>
                <w:szCs w:val="22"/>
              </w:rPr>
              <w:t>Non-Confidential</w:t>
            </w:r>
          </w:p>
        </w:tc>
        <w:tc>
          <w:tcPr>
            <w:tcW w:w="7040" w:type="dxa"/>
          </w:tcPr>
          <w:p w14:paraId="44B23987" w14:textId="77777777" w:rsidR="00023295" w:rsidRDefault="00023295" w:rsidP="00023295">
            <w:pPr>
              <w:pStyle w:val="ColumnHeading"/>
              <w:rPr>
                <w:rFonts w:asciiTheme="minorHAnsi" w:hAnsiTheme="minorHAnsi" w:cstheme="minorHAnsi"/>
                <w:b w:val="0"/>
                <w:sz w:val="22"/>
                <w:szCs w:val="22"/>
                <w:lang w:val="en-GB"/>
              </w:rPr>
            </w:pPr>
            <w:proofErr w:type="gramStart"/>
            <w:r w:rsidRPr="00023295">
              <w:rPr>
                <w:rFonts w:asciiTheme="minorHAnsi" w:hAnsiTheme="minorHAnsi" w:cstheme="minorHAnsi"/>
                <w:b w:val="0"/>
                <w:sz w:val="22"/>
                <w:szCs w:val="22"/>
                <w:lang w:val="en-GB"/>
              </w:rPr>
              <w:t>Yes</w:t>
            </w:r>
            <w:proofErr w:type="gramEnd"/>
            <w:r w:rsidRPr="00023295">
              <w:rPr>
                <w:rFonts w:asciiTheme="minorHAnsi" w:hAnsiTheme="minorHAnsi" w:cstheme="minorHAnsi"/>
                <w:b w:val="0"/>
                <w:sz w:val="22"/>
                <w:szCs w:val="22"/>
                <w:lang w:val="en-GB"/>
              </w:rPr>
              <w:t xml:space="preserve"> this would be more suitable. Reducing the customer contribution input to zero had the effect of increasing the capacity tariff element, rather than decreasing the excess capacity tariff element, so it would seem more suitable to identify a method to decrease the capacity tariff rather than only seeking to increase the excess capacity tariff. Any change should be cost reflective. </w:t>
            </w:r>
          </w:p>
          <w:p w14:paraId="7D15681E" w14:textId="77777777" w:rsidR="00023295" w:rsidRPr="00023295" w:rsidRDefault="00023295" w:rsidP="00023295">
            <w:pPr>
              <w:rPr>
                <w:lang w:val="en-GB"/>
              </w:rPr>
            </w:pPr>
          </w:p>
          <w:p w14:paraId="0B612623" w14:textId="0455D44D"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The increase in the capacity tariff is due to the change in connection boundary introduced by the Access SCR. This means that </w:t>
            </w:r>
            <w:proofErr w:type="gramStart"/>
            <w:r w:rsidRPr="00023295">
              <w:rPr>
                <w:rFonts w:asciiTheme="minorHAnsi" w:hAnsiTheme="minorHAnsi" w:cstheme="minorHAnsi"/>
                <w:b w:val="0"/>
                <w:sz w:val="22"/>
                <w:szCs w:val="22"/>
                <w:lang w:val="en-GB"/>
              </w:rPr>
              <w:t>the majority of</w:t>
            </w:r>
            <w:proofErr w:type="gramEnd"/>
            <w:r w:rsidRPr="00023295">
              <w:rPr>
                <w:rFonts w:asciiTheme="minorHAnsi" w:hAnsiTheme="minorHAnsi" w:cstheme="minorHAnsi"/>
                <w:b w:val="0"/>
                <w:sz w:val="22"/>
                <w:szCs w:val="22"/>
                <w:lang w:val="en-GB"/>
              </w:rPr>
              <w:t xml:space="preserve"> customers do not have a customer contribution at the time of connection </w:t>
            </w:r>
            <w:r w:rsidRPr="00023295">
              <w:rPr>
                <w:rFonts w:asciiTheme="minorHAnsi" w:hAnsiTheme="minorHAnsi" w:cstheme="minorHAnsi"/>
                <w:b w:val="0"/>
                <w:sz w:val="22"/>
                <w:szCs w:val="22"/>
                <w:lang w:val="en-GB"/>
              </w:rPr>
              <w:lastRenderedPageBreak/>
              <w:t xml:space="preserve">and instead the costs must be recovered through </w:t>
            </w:r>
            <w:proofErr w:type="spellStart"/>
            <w:r w:rsidRPr="00023295">
              <w:rPr>
                <w:rFonts w:asciiTheme="minorHAnsi" w:hAnsiTheme="minorHAnsi" w:cstheme="minorHAnsi"/>
                <w:b w:val="0"/>
                <w:sz w:val="22"/>
                <w:szCs w:val="22"/>
                <w:lang w:val="en-GB"/>
              </w:rPr>
              <w:t>UoS</w:t>
            </w:r>
            <w:proofErr w:type="spellEnd"/>
            <w:r w:rsidRPr="00023295">
              <w:rPr>
                <w:rFonts w:asciiTheme="minorHAnsi" w:hAnsiTheme="minorHAnsi" w:cstheme="minorHAnsi"/>
                <w:b w:val="0"/>
                <w:sz w:val="22"/>
                <w:szCs w:val="22"/>
                <w:lang w:val="en-GB"/>
              </w:rPr>
              <w:t xml:space="preserve"> charges. </w:t>
            </w:r>
            <w:proofErr w:type="gramStart"/>
            <w:r w:rsidRPr="00023295">
              <w:rPr>
                <w:rFonts w:asciiTheme="minorHAnsi" w:hAnsiTheme="minorHAnsi" w:cstheme="minorHAnsi"/>
                <w:b w:val="0"/>
                <w:sz w:val="22"/>
                <w:szCs w:val="22"/>
                <w:lang w:val="en-GB"/>
              </w:rPr>
              <w:t>So</w:t>
            </w:r>
            <w:proofErr w:type="gramEnd"/>
            <w:r w:rsidRPr="00023295">
              <w:rPr>
                <w:rFonts w:asciiTheme="minorHAnsi" w:hAnsiTheme="minorHAnsi" w:cstheme="minorHAnsi"/>
                <w:b w:val="0"/>
                <w:sz w:val="22"/>
                <w:szCs w:val="22"/>
                <w:lang w:val="en-GB"/>
              </w:rPr>
              <w:t xml:space="preserve"> it is correct that the capacity charges have increased, with the unintended consequence that this aligned them with the excess capacity tariff. Any change to the tariffs needs to be cost reflective and cannot just be a simple doubling (or halving) of one tariff element with no real justification.</w:t>
            </w:r>
          </w:p>
        </w:tc>
        <w:tc>
          <w:tcPr>
            <w:tcW w:w="3747" w:type="dxa"/>
            <w:shd w:val="clear" w:color="auto" w:fill="E2EFD9" w:themeFill="accent6" w:themeFillTint="33"/>
          </w:tcPr>
          <w:p w14:paraId="2900B28E"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51BEAA1D" w14:textId="77777777" w:rsidTr="005B462E">
        <w:tc>
          <w:tcPr>
            <w:tcW w:w="1730" w:type="dxa"/>
          </w:tcPr>
          <w:p w14:paraId="2EDA403C" w14:textId="0FBDD9FD"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05DF001D" w14:textId="016089C5" w:rsidR="00846BC9" w:rsidRPr="00A61183"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714027E" w14:textId="7F44BF1E" w:rsidR="00846BC9" w:rsidRPr="00023295" w:rsidRDefault="00BB00BF" w:rsidP="00846BC9">
            <w:pPr>
              <w:pStyle w:val="ColumnHeading"/>
              <w:rPr>
                <w:rFonts w:asciiTheme="minorHAnsi" w:hAnsiTheme="minorHAnsi" w:cstheme="minorHAnsi"/>
                <w:b w:val="0"/>
                <w:sz w:val="22"/>
                <w:szCs w:val="22"/>
              </w:rPr>
            </w:pPr>
            <w:r w:rsidRPr="00BB00BF">
              <w:rPr>
                <w:rFonts w:asciiTheme="minorHAnsi" w:hAnsiTheme="minorHAnsi" w:cstheme="minorHAnsi"/>
                <w:b w:val="0"/>
                <w:sz w:val="22"/>
                <w:szCs w:val="22"/>
                <w:lang w:val="en-GB"/>
              </w:rPr>
              <w:t>Although the alternative process reintroduces the differential, and this may be a reasonable process to drive the correct customer behaviour, we believe that any charges should be a deterrent to the customer exceeding their capacity but should not be excessive. However, charges for customers who apply to increase their MIC to match their MD should be lower than the excess charges.</w:t>
            </w:r>
          </w:p>
        </w:tc>
        <w:tc>
          <w:tcPr>
            <w:tcW w:w="3747" w:type="dxa"/>
            <w:shd w:val="clear" w:color="auto" w:fill="E2EFD9" w:themeFill="accent6" w:themeFillTint="33"/>
          </w:tcPr>
          <w:p w14:paraId="35B09130"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05C8F10" w14:textId="77777777" w:rsidTr="005B462E">
        <w:tc>
          <w:tcPr>
            <w:tcW w:w="1730" w:type="dxa"/>
          </w:tcPr>
          <w:p w14:paraId="16B4F2B8" w14:textId="6F91E949"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36D03CD5" w14:textId="4BAF817E" w:rsidR="00846BC9" w:rsidRPr="00A61183"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6DBA95DC" w14:textId="15777556" w:rsidR="00846BC9" w:rsidRPr="00023295" w:rsidRDefault="00AC1944" w:rsidP="00846BC9">
            <w:pPr>
              <w:pStyle w:val="ColumnHeading"/>
              <w:rPr>
                <w:rFonts w:asciiTheme="minorHAnsi" w:hAnsiTheme="minorHAnsi" w:cstheme="minorHAnsi"/>
                <w:b w:val="0"/>
                <w:sz w:val="22"/>
                <w:szCs w:val="22"/>
              </w:rPr>
            </w:pPr>
            <w:r w:rsidRPr="00AC1944">
              <w:rPr>
                <w:rFonts w:asciiTheme="minorHAnsi" w:hAnsiTheme="minorHAnsi" w:cstheme="minorHAnsi"/>
                <w:b w:val="0"/>
                <w:sz w:val="22"/>
                <w:szCs w:val="22"/>
                <w:lang w:val="en-GB"/>
              </w:rPr>
              <w:t>We think that whilst the proposed solution is suitable to a degree because it provides (albeit limited) signals which should discourage capacity exceedance, it is not clear that it is cost-reflective, and nor would simply doubling the current tariff be.</w:t>
            </w:r>
            <w:r>
              <w:rPr>
                <w:rFonts w:asciiTheme="minorHAnsi" w:hAnsiTheme="minorHAnsi" w:cstheme="minorHAnsi"/>
                <w:b w:val="0"/>
                <w:sz w:val="22"/>
                <w:szCs w:val="22"/>
                <w:lang w:val="en-GB"/>
              </w:rPr>
              <w:t xml:space="preserve"> </w:t>
            </w:r>
            <w:r w:rsidRPr="00AC1944">
              <w:rPr>
                <w:rFonts w:asciiTheme="minorHAnsi" w:hAnsiTheme="minorHAnsi" w:cstheme="minorHAnsi"/>
                <w:b w:val="0"/>
                <w:sz w:val="22"/>
                <w:szCs w:val="22"/>
                <w:lang w:val="en-GB"/>
              </w:rPr>
              <w:t>We expect that</w:t>
            </w:r>
            <w:r>
              <w:rPr>
                <w:rFonts w:asciiTheme="minorHAnsi" w:hAnsiTheme="minorHAnsi" w:cstheme="minorHAnsi"/>
                <w:b w:val="0"/>
                <w:sz w:val="22"/>
                <w:szCs w:val="22"/>
                <w:lang w:val="en-GB"/>
              </w:rPr>
              <w:t xml:space="preserve"> </w:t>
            </w:r>
            <w:r w:rsidRPr="00AC1944">
              <w:rPr>
                <w:rFonts w:asciiTheme="minorHAnsi" w:hAnsiTheme="minorHAnsi" w:cstheme="minorHAnsi"/>
                <w:b w:val="0"/>
                <w:sz w:val="22"/>
                <w:szCs w:val="22"/>
                <w:lang w:val="en-GB"/>
              </w:rPr>
              <w:t xml:space="preserve">a cost-reflective solution would require a more in-depth change in the charging methodology. Ofgem’s </w:t>
            </w:r>
            <w:proofErr w:type="spellStart"/>
            <w:r w:rsidRPr="00AC1944">
              <w:rPr>
                <w:rFonts w:asciiTheme="minorHAnsi" w:hAnsiTheme="minorHAnsi" w:cstheme="minorHAnsi"/>
                <w:b w:val="0"/>
                <w:sz w:val="22"/>
                <w:szCs w:val="22"/>
                <w:lang w:val="en-GB"/>
              </w:rPr>
              <w:t>DUoS</w:t>
            </w:r>
            <w:proofErr w:type="spellEnd"/>
            <w:r w:rsidRPr="00AC1944">
              <w:rPr>
                <w:rFonts w:asciiTheme="minorHAnsi" w:hAnsiTheme="minorHAnsi" w:cstheme="minorHAnsi"/>
                <w:b w:val="0"/>
                <w:sz w:val="22"/>
                <w:szCs w:val="22"/>
                <w:lang w:val="en-GB"/>
              </w:rPr>
              <w:t xml:space="preserve"> SCR may be the right vehicle for this.</w:t>
            </w:r>
          </w:p>
        </w:tc>
        <w:tc>
          <w:tcPr>
            <w:tcW w:w="3747" w:type="dxa"/>
            <w:shd w:val="clear" w:color="auto" w:fill="E2EFD9" w:themeFill="accent6" w:themeFillTint="33"/>
          </w:tcPr>
          <w:p w14:paraId="2A141B00"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DC200EC" w14:textId="77777777" w:rsidTr="005B462E">
        <w:tc>
          <w:tcPr>
            <w:tcW w:w="1730" w:type="dxa"/>
          </w:tcPr>
          <w:p w14:paraId="08CF5840" w14:textId="7777777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15793FA8" w14:textId="66E9A969" w:rsidR="00846BC9" w:rsidRPr="001723C9" w:rsidRDefault="00846BC9" w:rsidP="00846BC9">
            <w:pPr>
              <w:pStyle w:val="ColumnHeading"/>
              <w:rPr>
                <w:rFonts w:asciiTheme="minorHAnsi" w:hAnsiTheme="minorHAnsi" w:cstheme="minorHAnsi"/>
                <w:b w:val="0"/>
                <w:bCs/>
                <w:sz w:val="22"/>
                <w:szCs w:val="22"/>
              </w:rPr>
            </w:pPr>
            <w:r w:rsidRPr="00A61183">
              <w:rPr>
                <w:rFonts w:asciiTheme="minorHAnsi" w:hAnsiTheme="minorHAnsi" w:cstheme="minorHAnsi"/>
                <w:b w:val="0"/>
                <w:bCs/>
                <w:sz w:val="22"/>
                <w:szCs w:val="22"/>
              </w:rPr>
              <w:t>Non-Confidential</w:t>
            </w:r>
          </w:p>
        </w:tc>
        <w:tc>
          <w:tcPr>
            <w:tcW w:w="7040" w:type="dxa"/>
          </w:tcPr>
          <w:p w14:paraId="59D7A62C" w14:textId="77777777" w:rsidR="00846BC9" w:rsidRDefault="00846BC9" w:rsidP="00846BC9">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Yes. We believe applying a straightforward price differential between Capacity and Excess Capacity charges would send an effective price signal to users for all types of breach (inadvertent, one-off, and persistent) but only if the excess charge is set at a sufficient level to be effective.</w:t>
            </w:r>
          </w:p>
          <w:p w14:paraId="3C236B2D" w14:textId="77777777" w:rsidR="00846BC9" w:rsidRPr="00023295" w:rsidRDefault="00846BC9" w:rsidP="00846BC9"/>
          <w:p w14:paraId="410EBA5B" w14:textId="77777777" w:rsidR="00846BC9" w:rsidRDefault="00846BC9" w:rsidP="00846BC9">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 xml:space="preserve">We consider that excess charges, which are set suitably higher than the capacity charge, for the month of occurrence (existing process), would send </w:t>
            </w:r>
            <w:r w:rsidRPr="00023295">
              <w:rPr>
                <w:rFonts w:asciiTheme="minorHAnsi" w:hAnsiTheme="minorHAnsi" w:cstheme="minorHAnsi"/>
                <w:b w:val="0"/>
                <w:sz w:val="22"/>
                <w:szCs w:val="22"/>
              </w:rPr>
              <w:lastRenderedPageBreak/>
              <w:t>a strong price signal. These charges should be set possibly at around 3.5 to 4.0 times higher.</w:t>
            </w:r>
          </w:p>
          <w:p w14:paraId="0A629734" w14:textId="77777777" w:rsidR="00846BC9" w:rsidRPr="00023295" w:rsidRDefault="00846BC9" w:rsidP="00846BC9"/>
          <w:p w14:paraId="6D0FFCC3" w14:textId="77777777" w:rsidR="00846BC9" w:rsidRDefault="00846BC9" w:rsidP="00846BC9">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Setting the Excess Charge sufficiently high enough would mean the use of system charges seen by a customer who breaches their capacity once or inadvertently would therefore be around the same for the year as those seen by a customer who agrees a maximum capacity in advance but requires the capacity greater than a year.   In this way, the costs of using the system are also shared equitably between users.</w:t>
            </w:r>
          </w:p>
          <w:p w14:paraId="15274834" w14:textId="77777777" w:rsidR="00846BC9" w:rsidRPr="00023295" w:rsidRDefault="00846BC9" w:rsidP="00846BC9"/>
          <w:p w14:paraId="1960BE87" w14:textId="77777777" w:rsidR="00846BC9" w:rsidRDefault="00846BC9" w:rsidP="00846BC9">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Persistent breaches would potentially incur higher annual charges overall, which should help to encourage the user to agree a new authorised capacity in accordance with the terms and conditions of their Connection Agreement.</w:t>
            </w:r>
          </w:p>
          <w:p w14:paraId="52C9EF98" w14:textId="77777777" w:rsidR="00846BC9" w:rsidRPr="00023295" w:rsidRDefault="00846BC9" w:rsidP="00846BC9"/>
          <w:p w14:paraId="678BD08B" w14:textId="2F79F3EC" w:rsidR="00846BC9" w:rsidRPr="0093655A" w:rsidRDefault="00846BC9" w:rsidP="00846BC9">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The proposed Alternative approach would also avoid the cost associated with the need to change existing billing applications since they are already capable of applying an excess capacity charge.</w:t>
            </w:r>
          </w:p>
        </w:tc>
        <w:tc>
          <w:tcPr>
            <w:tcW w:w="3747" w:type="dxa"/>
            <w:shd w:val="clear" w:color="auto" w:fill="E2EFD9" w:themeFill="accent6" w:themeFillTint="33"/>
          </w:tcPr>
          <w:p w14:paraId="79CC4D64"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804B510" w14:textId="77777777" w:rsidTr="005B462E">
        <w:tc>
          <w:tcPr>
            <w:tcW w:w="1730" w:type="dxa"/>
          </w:tcPr>
          <w:p w14:paraId="06AA2080"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47AD7BE8" w14:textId="2D1515BC" w:rsidR="00846BC9" w:rsidRPr="001723C9" w:rsidRDefault="00846BC9" w:rsidP="00846BC9">
            <w:pPr>
              <w:pStyle w:val="ColumnHeading"/>
              <w:rPr>
                <w:rFonts w:asciiTheme="minorHAnsi" w:hAnsiTheme="minorHAnsi" w:cstheme="minorHAnsi"/>
                <w:b w:val="0"/>
                <w:bCs/>
                <w:sz w:val="22"/>
                <w:szCs w:val="22"/>
              </w:rPr>
            </w:pPr>
            <w:r w:rsidRPr="00A61183">
              <w:rPr>
                <w:rFonts w:asciiTheme="minorHAnsi" w:hAnsiTheme="minorHAnsi" w:cstheme="minorHAnsi"/>
                <w:b w:val="0"/>
                <w:bCs/>
                <w:sz w:val="22"/>
                <w:szCs w:val="22"/>
              </w:rPr>
              <w:t>Non-Confidential</w:t>
            </w:r>
          </w:p>
        </w:tc>
        <w:tc>
          <w:tcPr>
            <w:tcW w:w="7040" w:type="dxa"/>
          </w:tcPr>
          <w:p w14:paraId="65774FF7" w14:textId="37D6FF36"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If this could be done in a way that reflects the costs accurately it could be a better option however we are unsure of how that may be done or what the cost considerations might be e.g. has a DNO purchased flexibility services to balance the local network.</w:t>
            </w:r>
          </w:p>
        </w:tc>
        <w:tc>
          <w:tcPr>
            <w:tcW w:w="3747" w:type="dxa"/>
            <w:shd w:val="clear" w:color="auto" w:fill="E2EFD9" w:themeFill="accent6" w:themeFillTint="33"/>
          </w:tcPr>
          <w:p w14:paraId="2D43AB0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859BD1A" w14:textId="77777777" w:rsidTr="005B462E">
        <w:tc>
          <w:tcPr>
            <w:tcW w:w="1730" w:type="dxa"/>
          </w:tcPr>
          <w:p w14:paraId="07A2DCEA"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0E01B608" w14:textId="1CEFA484" w:rsidR="00846BC9" w:rsidRPr="001723C9" w:rsidRDefault="00846BC9" w:rsidP="00846BC9">
            <w:pPr>
              <w:pStyle w:val="ColumnHeading"/>
              <w:rPr>
                <w:rFonts w:asciiTheme="minorHAnsi" w:hAnsiTheme="minorHAnsi" w:cstheme="minorHAnsi"/>
                <w:b w:val="0"/>
                <w:bCs/>
                <w:sz w:val="22"/>
                <w:szCs w:val="22"/>
              </w:rPr>
            </w:pPr>
            <w:r w:rsidRPr="00A61183">
              <w:rPr>
                <w:rFonts w:asciiTheme="minorHAnsi" w:hAnsiTheme="minorHAnsi" w:cstheme="minorHAnsi"/>
                <w:b w:val="0"/>
                <w:bCs/>
                <w:sz w:val="22"/>
                <w:szCs w:val="22"/>
              </w:rPr>
              <w:t>Non-Confidential</w:t>
            </w:r>
          </w:p>
        </w:tc>
        <w:tc>
          <w:tcPr>
            <w:tcW w:w="7040" w:type="dxa"/>
          </w:tcPr>
          <w:p w14:paraId="72B10D25" w14:textId="6B3B200E"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We believe that this approach would be appropriate but since the setting of Customer Contributions to zero, have reservations as to how this can be </w:t>
            </w:r>
            <w:r w:rsidRPr="005C7D70">
              <w:rPr>
                <w:rFonts w:asciiTheme="minorHAnsi" w:hAnsiTheme="minorHAnsi" w:cstheme="minorHAnsi"/>
                <w:b w:val="0"/>
                <w:bCs/>
                <w:sz w:val="22"/>
                <w:szCs w:val="22"/>
                <w:lang w:val="en-GB"/>
              </w:rPr>
              <w:lastRenderedPageBreak/>
              <w:t xml:space="preserve">utilised </w:t>
            </w:r>
            <w:proofErr w:type="gramStart"/>
            <w:r w:rsidRPr="005C7D70">
              <w:rPr>
                <w:rFonts w:asciiTheme="minorHAnsi" w:hAnsiTheme="minorHAnsi" w:cstheme="minorHAnsi"/>
                <w:b w:val="0"/>
                <w:bCs/>
                <w:sz w:val="22"/>
                <w:szCs w:val="22"/>
                <w:lang w:val="en-GB"/>
              </w:rPr>
              <w:t>in order to</w:t>
            </w:r>
            <w:proofErr w:type="gramEnd"/>
            <w:r w:rsidRPr="005C7D70">
              <w:rPr>
                <w:rFonts w:asciiTheme="minorHAnsi" w:hAnsiTheme="minorHAnsi" w:cstheme="minorHAnsi"/>
                <w:b w:val="0"/>
                <w:bCs/>
                <w:sz w:val="22"/>
                <w:szCs w:val="22"/>
                <w:lang w:val="en-GB"/>
              </w:rPr>
              <w:t xml:space="preserve"> set an appropriate and cost reflective charge. A solid basis for the charges would need to be found.</w:t>
            </w:r>
          </w:p>
        </w:tc>
        <w:tc>
          <w:tcPr>
            <w:tcW w:w="3747" w:type="dxa"/>
            <w:shd w:val="clear" w:color="auto" w:fill="E2EFD9" w:themeFill="accent6" w:themeFillTint="33"/>
          </w:tcPr>
          <w:p w14:paraId="0D52462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0119DFFE" w14:textId="77777777" w:rsidTr="005B462E">
        <w:tc>
          <w:tcPr>
            <w:tcW w:w="14076" w:type="dxa"/>
            <w:gridSpan w:val="4"/>
            <w:shd w:val="clear" w:color="auto" w:fill="E2EFD9" w:themeFill="accent6" w:themeFillTint="33"/>
          </w:tcPr>
          <w:p w14:paraId="07C63DD4" w14:textId="57E85CD9" w:rsidR="005C1A74" w:rsidRDefault="00846BC9" w:rsidP="00846BC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5C1A74">
              <w:rPr>
                <w:rFonts w:asciiTheme="minorHAnsi" w:hAnsiTheme="minorHAnsi" w:cstheme="minorHAnsi"/>
                <w:bCs/>
                <w:sz w:val="22"/>
                <w:szCs w:val="22"/>
                <w:lang w:val="en-GB"/>
              </w:rPr>
              <w:t xml:space="preserve">It was highlighted that the cost reflectivity was something that requires further consideration and wasn’t a </w:t>
            </w:r>
            <w:r w:rsidR="00F12E5F">
              <w:rPr>
                <w:rFonts w:asciiTheme="minorHAnsi" w:hAnsiTheme="minorHAnsi" w:cstheme="minorHAnsi"/>
                <w:bCs/>
                <w:sz w:val="22"/>
                <w:szCs w:val="22"/>
                <w:lang w:val="en-GB"/>
              </w:rPr>
              <w:t>showstopper</w:t>
            </w:r>
            <w:r w:rsidR="005C1A74">
              <w:rPr>
                <w:rFonts w:asciiTheme="minorHAnsi" w:hAnsiTheme="minorHAnsi" w:cstheme="minorHAnsi"/>
                <w:bCs/>
                <w:sz w:val="22"/>
                <w:szCs w:val="22"/>
                <w:lang w:val="en-GB"/>
              </w:rPr>
              <w:t xml:space="preserve">. The WG noted that the costs arising from excess capacity could potentially constitute an over recovery if treated as allowed revenue. </w:t>
            </w:r>
          </w:p>
          <w:p w14:paraId="5FDF29FC" w14:textId="236B6DD0" w:rsidR="005C1A74" w:rsidRDefault="005C1A74" w:rsidP="00846BC9">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I</w:t>
            </w:r>
            <w:r w:rsidRPr="005C1A74">
              <w:rPr>
                <w:rFonts w:asciiTheme="minorHAnsi" w:hAnsiTheme="minorHAnsi" w:cstheme="minorHAnsi"/>
                <w:bCs/>
                <w:sz w:val="22"/>
                <w:szCs w:val="22"/>
                <w:lang w:val="en-GB"/>
              </w:rPr>
              <w:t xml:space="preserve">t was noted that the cost to be recovered </w:t>
            </w:r>
            <w:r>
              <w:rPr>
                <w:rFonts w:asciiTheme="minorHAnsi" w:hAnsiTheme="minorHAnsi" w:cstheme="minorHAnsi"/>
                <w:bCs/>
                <w:sz w:val="22"/>
                <w:szCs w:val="22"/>
                <w:lang w:val="en-GB"/>
              </w:rPr>
              <w:t xml:space="preserve">could be considered to </w:t>
            </w:r>
            <w:r w:rsidRPr="005C1A74">
              <w:rPr>
                <w:rFonts w:asciiTheme="minorHAnsi" w:hAnsiTheme="minorHAnsi" w:cstheme="minorHAnsi"/>
                <w:bCs/>
                <w:sz w:val="22"/>
                <w:szCs w:val="22"/>
                <w:lang w:val="en-GB"/>
              </w:rPr>
              <w:t>not</w:t>
            </w:r>
            <w:r>
              <w:rPr>
                <w:rFonts w:asciiTheme="minorHAnsi" w:hAnsiTheme="minorHAnsi" w:cstheme="minorHAnsi"/>
                <w:bCs/>
                <w:sz w:val="22"/>
                <w:szCs w:val="22"/>
                <w:lang w:val="en-GB"/>
              </w:rPr>
              <w:t xml:space="preserve"> be</w:t>
            </w:r>
            <w:r w:rsidRPr="005C1A74">
              <w:rPr>
                <w:rFonts w:asciiTheme="minorHAnsi" w:hAnsiTheme="minorHAnsi" w:cstheme="minorHAnsi"/>
                <w:bCs/>
                <w:sz w:val="22"/>
                <w:szCs w:val="22"/>
                <w:lang w:val="en-GB"/>
              </w:rPr>
              <w:t xml:space="preserve"> part of the allowed revenue since a DNO is not planning to incur the cost of exceedance.</w:t>
            </w:r>
          </w:p>
          <w:p w14:paraId="23566771" w14:textId="7343552F" w:rsidR="005C1A74" w:rsidRDefault="005C1A74" w:rsidP="00846BC9">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If it was taken out of </w:t>
            </w:r>
            <w:proofErr w:type="spellStart"/>
            <w:proofErr w:type="gramStart"/>
            <w:r>
              <w:rPr>
                <w:rFonts w:asciiTheme="minorHAnsi" w:hAnsiTheme="minorHAnsi" w:cstheme="minorHAnsi"/>
                <w:bCs/>
                <w:sz w:val="22"/>
                <w:szCs w:val="22"/>
                <w:lang w:val="en-GB"/>
              </w:rPr>
              <w:t>DUoS</w:t>
            </w:r>
            <w:proofErr w:type="spellEnd"/>
            <w:proofErr w:type="gramEnd"/>
            <w:r>
              <w:rPr>
                <w:rFonts w:asciiTheme="minorHAnsi" w:hAnsiTheme="minorHAnsi" w:cstheme="minorHAnsi"/>
                <w:bCs/>
                <w:sz w:val="22"/>
                <w:szCs w:val="22"/>
                <w:lang w:val="en-GB"/>
              </w:rPr>
              <w:t xml:space="preserve"> then it could be dealt with in price reviews.</w:t>
            </w:r>
          </w:p>
          <w:p w14:paraId="6DDE9F21" w14:textId="1A5BF4A7"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 xml:space="preserve">One responder stated that they believed that the solution offered within question 3 was the most appropriate approach. </w:t>
            </w:r>
          </w:p>
          <w:p w14:paraId="108BA815" w14:textId="1CF0C925"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Another responder state that the alternative solution could potentially be more suitable, but they would need to see more analysis before committing further.</w:t>
            </w:r>
          </w:p>
          <w:p w14:paraId="5EA528C4" w14:textId="01603475" w:rsidR="00846BC9" w:rsidRPr="001723C9" w:rsidRDefault="00F12E5F" w:rsidP="00846BC9">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The other seven responders said that this could be a suitable solution however, most noted that the process would have to be cost reflective and had reservations on whether this were possible.</w:t>
            </w:r>
          </w:p>
        </w:tc>
      </w:tr>
    </w:tbl>
    <w:p w14:paraId="44DF86D7"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55C0D02"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6B1325A1"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Are there any other options that have not been mentioned that would discourage customers from exceeding their MIC? Please provide details.</w:t>
            </w:r>
          </w:p>
        </w:tc>
        <w:tc>
          <w:tcPr>
            <w:tcW w:w="3747" w:type="dxa"/>
            <w:shd w:val="clear" w:color="auto" w:fill="E2EFD9" w:themeFill="accent6" w:themeFillTint="33"/>
          </w:tcPr>
          <w:p w14:paraId="02975664"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24ADED88" w14:textId="77777777" w:rsidTr="005B462E">
        <w:tc>
          <w:tcPr>
            <w:tcW w:w="1730" w:type="dxa"/>
          </w:tcPr>
          <w:p w14:paraId="7F003870"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46820A2F" w14:textId="1C93F2F1"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05CD75D5" w14:textId="091F9E66"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 xml:space="preserve">None that are foreseeable </w:t>
            </w:r>
            <w:proofErr w:type="gramStart"/>
            <w:r w:rsidRPr="00F65952">
              <w:rPr>
                <w:rFonts w:asciiTheme="minorHAnsi" w:hAnsiTheme="minorHAnsi" w:cstheme="minorHAnsi"/>
                <w:b w:val="0"/>
                <w:bCs/>
                <w:sz w:val="22"/>
                <w:szCs w:val="22"/>
                <w:lang w:val="en-GB"/>
              </w:rPr>
              <w:t>at this time</w:t>
            </w:r>
            <w:proofErr w:type="gramEnd"/>
            <w:r w:rsidRPr="00F65952">
              <w:rPr>
                <w:rFonts w:asciiTheme="minorHAnsi" w:hAnsiTheme="minorHAnsi" w:cstheme="minorHAnsi"/>
                <w:b w:val="0"/>
                <w:bCs/>
                <w:sz w:val="22"/>
                <w:szCs w:val="22"/>
                <w:lang w:val="en-GB"/>
              </w:rPr>
              <w:t>.</w:t>
            </w:r>
          </w:p>
        </w:tc>
        <w:tc>
          <w:tcPr>
            <w:tcW w:w="3747" w:type="dxa"/>
            <w:shd w:val="clear" w:color="auto" w:fill="E2EFD9" w:themeFill="accent6" w:themeFillTint="33"/>
          </w:tcPr>
          <w:p w14:paraId="362E2E2B"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55787222" w14:textId="77777777" w:rsidTr="005B462E">
        <w:tc>
          <w:tcPr>
            <w:tcW w:w="1730" w:type="dxa"/>
          </w:tcPr>
          <w:p w14:paraId="3F7E3FF1"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967C99B" w14:textId="12A68995" w:rsidR="00F65952" w:rsidRPr="001723C9" w:rsidRDefault="00F65952" w:rsidP="00F65952">
            <w:pPr>
              <w:pStyle w:val="ColumnHeading"/>
              <w:rPr>
                <w:rFonts w:asciiTheme="minorHAnsi" w:hAnsiTheme="minorHAnsi" w:cstheme="minorHAnsi"/>
                <w:b w:val="0"/>
                <w:bCs/>
                <w:sz w:val="22"/>
                <w:szCs w:val="22"/>
              </w:rPr>
            </w:pPr>
            <w:r w:rsidRPr="001D3CC5">
              <w:rPr>
                <w:rFonts w:asciiTheme="minorHAnsi" w:hAnsiTheme="minorHAnsi" w:cstheme="minorHAnsi"/>
                <w:b w:val="0"/>
                <w:bCs/>
                <w:sz w:val="22"/>
                <w:szCs w:val="22"/>
              </w:rPr>
              <w:t>Non-Confidential</w:t>
            </w:r>
          </w:p>
        </w:tc>
        <w:tc>
          <w:tcPr>
            <w:tcW w:w="7040" w:type="dxa"/>
          </w:tcPr>
          <w:p w14:paraId="4DAE1CF8" w14:textId="6EFAA0A6"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It is our understanding that the customer agrees their MIC with the DNO and this should be referenced in the connection agreement. Where MIC are </w:t>
            </w:r>
            <w:r w:rsidRPr="00B35D24">
              <w:rPr>
                <w:rFonts w:asciiTheme="minorHAnsi" w:hAnsiTheme="minorHAnsi" w:cstheme="minorHAnsi"/>
                <w:b w:val="0"/>
                <w:bCs/>
                <w:sz w:val="22"/>
                <w:szCs w:val="22"/>
                <w:lang w:val="en-GB"/>
              </w:rPr>
              <w:lastRenderedPageBreak/>
              <w:t>being exceeded DNOs should be contacting customers to highlight this and putting in place processes to agree new MICs where required.</w:t>
            </w:r>
          </w:p>
        </w:tc>
        <w:tc>
          <w:tcPr>
            <w:tcW w:w="3747" w:type="dxa"/>
            <w:shd w:val="clear" w:color="auto" w:fill="E2EFD9" w:themeFill="accent6" w:themeFillTint="33"/>
          </w:tcPr>
          <w:p w14:paraId="2B9A31E2" w14:textId="5AB2694C" w:rsidR="00F65952" w:rsidRPr="001723C9" w:rsidRDefault="00CD65E5"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 xml:space="preserve">It was noted if a DNO contacted every customer who’d exceeded their MIC, </w:t>
            </w:r>
            <w:r>
              <w:rPr>
                <w:rFonts w:asciiTheme="minorHAnsi" w:hAnsiTheme="minorHAnsi" w:cstheme="minorHAnsi"/>
                <w:b w:val="0"/>
                <w:bCs/>
                <w:sz w:val="22"/>
                <w:szCs w:val="22"/>
              </w:rPr>
              <w:lastRenderedPageBreak/>
              <w:t>this would require alot of resource and could be a long process due to custmer contact element.</w:t>
            </w:r>
          </w:p>
        </w:tc>
      </w:tr>
      <w:tr w:rsidR="00F65952" w:rsidRPr="001723C9" w14:paraId="101A6A9B" w14:textId="77777777" w:rsidTr="005B462E">
        <w:tc>
          <w:tcPr>
            <w:tcW w:w="1730" w:type="dxa"/>
          </w:tcPr>
          <w:p w14:paraId="08BF63B0"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NGED</w:t>
            </w:r>
          </w:p>
        </w:tc>
        <w:tc>
          <w:tcPr>
            <w:tcW w:w="1559" w:type="dxa"/>
          </w:tcPr>
          <w:p w14:paraId="3160088B" w14:textId="19F8DB85" w:rsidR="00F65952" w:rsidRPr="001723C9" w:rsidRDefault="00F65952" w:rsidP="00F65952">
            <w:pPr>
              <w:pStyle w:val="ColumnHeading"/>
              <w:rPr>
                <w:rFonts w:asciiTheme="minorHAnsi" w:hAnsiTheme="minorHAnsi" w:cstheme="minorHAnsi"/>
                <w:b w:val="0"/>
                <w:bCs/>
                <w:sz w:val="22"/>
                <w:szCs w:val="22"/>
                <w:lang w:val="en-GB"/>
              </w:rPr>
            </w:pPr>
            <w:r w:rsidRPr="001D3CC5">
              <w:rPr>
                <w:rFonts w:asciiTheme="minorHAnsi" w:hAnsiTheme="minorHAnsi" w:cstheme="minorHAnsi"/>
                <w:b w:val="0"/>
                <w:bCs/>
                <w:sz w:val="22"/>
                <w:szCs w:val="22"/>
              </w:rPr>
              <w:t>Non-Confidential</w:t>
            </w:r>
          </w:p>
        </w:tc>
        <w:tc>
          <w:tcPr>
            <w:tcW w:w="7040" w:type="dxa"/>
          </w:tcPr>
          <w:p w14:paraId="4C34796A" w14:textId="3C2B1DA1"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Not aware of any.</w:t>
            </w:r>
          </w:p>
        </w:tc>
        <w:tc>
          <w:tcPr>
            <w:tcW w:w="3747" w:type="dxa"/>
            <w:shd w:val="clear" w:color="auto" w:fill="E2EFD9" w:themeFill="accent6" w:themeFillTint="33"/>
          </w:tcPr>
          <w:p w14:paraId="1422A4D6"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18025025" w14:textId="77777777" w:rsidTr="005B462E">
        <w:tc>
          <w:tcPr>
            <w:tcW w:w="1730" w:type="dxa"/>
          </w:tcPr>
          <w:p w14:paraId="60786D03" w14:textId="25F47239"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06FAE87B" w14:textId="7B0A2E3E" w:rsidR="00F65952" w:rsidRPr="001723C9" w:rsidRDefault="00F65952" w:rsidP="00F65952">
            <w:pPr>
              <w:pStyle w:val="ColumnHeading"/>
              <w:rPr>
                <w:rFonts w:asciiTheme="minorHAnsi" w:hAnsiTheme="minorHAnsi" w:cstheme="minorHAnsi"/>
                <w:b w:val="0"/>
                <w:bCs/>
                <w:sz w:val="22"/>
                <w:szCs w:val="22"/>
              </w:rPr>
            </w:pPr>
            <w:r w:rsidRPr="001D3CC5">
              <w:rPr>
                <w:rFonts w:asciiTheme="minorHAnsi" w:hAnsiTheme="minorHAnsi" w:cstheme="minorHAnsi"/>
                <w:b w:val="0"/>
                <w:bCs/>
                <w:sz w:val="22"/>
                <w:szCs w:val="22"/>
              </w:rPr>
              <w:t>Non-Confidential</w:t>
            </w:r>
          </w:p>
        </w:tc>
        <w:tc>
          <w:tcPr>
            <w:tcW w:w="7040" w:type="dxa"/>
          </w:tcPr>
          <w:p w14:paraId="62B568BC" w14:textId="6845947C"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None identified at this time.</w:t>
            </w:r>
          </w:p>
        </w:tc>
        <w:tc>
          <w:tcPr>
            <w:tcW w:w="3747" w:type="dxa"/>
            <w:shd w:val="clear" w:color="auto" w:fill="E2EFD9" w:themeFill="accent6" w:themeFillTint="33"/>
          </w:tcPr>
          <w:p w14:paraId="647FDB06"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1EAB43C" w14:textId="77777777" w:rsidTr="005B462E">
        <w:tc>
          <w:tcPr>
            <w:tcW w:w="1730" w:type="dxa"/>
          </w:tcPr>
          <w:p w14:paraId="2BC9628D"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7D67D28" w14:textId="509CF1D0" w:rsidR="00F65952" w:rsidRPr="001723C9" w:rsidRDefault="00F65952" w:rsidP="00F65952">
            <w:pPr>
              <w:pStyle w:val="ColumnHeading"/>
              <w:rPr>
                <w:rFonts w:asciiTheme="minorHAnsi" w:hAnsiTheme="minorHAnsi" w:cstheme="minorHAnsi"/>
                <w:b w:val="0"/>
                <w:bCs/>
                <w:sz w:val="22"/>
                <w:szCs w:val="22"/>
              </w:rPr>
            </w:pPr>
            <w:r w:rsidRPr="001D3CC5">
              <w:rPr>
                <w:rFonts w:asciiTheme="minorHAnsi" w:hAnsiTheme="minorHAnsi" w:cstheme="minorHAnsi"/>
                <w:b w:val="0"/>
                <w:bCs/>
                <w:sz w:val="22"/>
                <w:szCs w:val="22"/>
              </w:rPr>
              <w:t>Non-Confidential</w:t>
            </w:r>
          </w:p>
        </w:tc>
        <w:tc>
          <w:tcPr>
            <w:tcW w:w="7040" w:type="dxa"/>
          </w:tcPr>
          <w:p w14:paraId="2A8C61BE" w14:textId="5CBA86AF" w:rsidR="00F65952" w:rsidRPr="0093655A" w:rsidRDefault="00023295"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None.</w:t>
            </w:r>
          </w:p>
        </w:tc>
        <w:tc>
          <w:tcPr>
            <w:tcW w:w="3747" w:type="dxa"/>
            <w:shd w:val="clear" w:color="auto" w:fill="E2EFD9" w:themeFill="accent6" w:themeFillTint="33"/>
          </w:tcPr>
          <w:p w14:paraId="668E7350"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0E52297F" w14:textId="77777777" w:rsidTr="005B462E">
        <w:tc>
          <w:tcPr>
            <w:tcW w:w="1730" w:type="dxa"/>
          </w:tcPr>
          <w:p w14:paraId="14826423" w14:textId="372024B1"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69485759" w14:textId="672C5F02" w:rsidR="00846BC9" w:rsidRPr="001D3CC5"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174BE83A" w14:textId="28B3DDCC"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Ultimately any charges passed onto the consumer will rely on the supplier dealing with any customer queries. Therefore, exploring alternative solutions, such as reviewing the National Terms of Connection, would enable a DNO to deal with customers who exceed their capacity in a timelier manner and strengthen the terms placed onto a customer for exceeding such capacity.</w:t>
            </w:r>
          </w:p>
        </w:tc>
        <w:tc>
          <w:tcPr>
            <w:tcW w:w="3747" w:type="dxa"/>
            <w:shd w:val="clear" w:color="auto" w:fill="E2EFD9" w:themeFill="accent6" w:themeFillTint="33"/>
          </w:tcPr>
          <w:p w14:paraId="5618BE8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032D241" w14:textId="77777777" w:rsidTr="005B462E">
        <w:tc>
          <w:tcPr>
            <w:tcW w:w="1730" w:type="dxa"/>
          </w:tcPr>
          <w:p w14:paraId="452342BB" w14:textId="2C45BF39"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74C3D02E" w14:textId="0AC5ABFA" w:rsidR="00846BC9" w:rsidRPr="001D3CC5"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6C125761"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The consultation (3.14) states that “The National Terms of Connection (NTC) give certain rights to the Distributor when a customer exceeds their capacity but in practice this can be a long-winded process, that endures long after the event and leaves the Distributor with no real sanctions”. </w:t>
            </w:r>
          </w:p>
          <w:p w14:paraId="56C58401" w14:textId="77777777" w:rsidR="00AC1944" w:rsidRDefault="00AC1944" w:rsidP="00846BC9">
            <w:pPr>
              <w:pStyle w:val="ColumnHeading"/>
              <w:rPr>
                <w:rFonts w:asciiTheme="minorHAnsi" w:hAnsiTheme="minorHAnsi" w:cstheme="minorHAnsi"/>
                <w:b w:val="0"/>
                <w:bCs/>
                <w:sz w:val="22"/>
                <w:szCs w:val="22"/>
                <w:lang w:val="en-GB"/>
              </w:rPr>
            </w:pPr>
          </w:p>
          <w:p w14:paraId="17166328" w14:textId="16AF1BAD"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We think it would be useful to explore ways of strengthening those rights and processes to make them swifter, more visible and more effective.</w:t>
            </w:r>
          </w:p>
        </w:tc>
        <w:tc>
          <w:tcPr>
            <w:tcW w:w="3747" w:type="dxa"/>
            <w:shd w:val="clear" w:color="auto" w:fill="E2EFD9" w:themeFill="accent6" w:themeFillTint="33"/>
          </w:tcPr>
          <w:p w14:paraId="50E6C57B"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F02A669" w14:textId="77777777" w:rsidTr="005B462E">
        <w:tc>
          <w:tcPr>
            <w:tcW w:w="1730" w:type="dxa"/>
          </w:tcPr>
          <w:p w14:paraId="2411120D"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SSEN</w:t>
            </w:r>
          </w:p>
        </w:tc>
        <w:tc>
          <w:tcPr>
            <w:tcW w:w="1559" w:type="dxa"/>
          </w:tcPr>
          <w:p w14:paraId="3DEE55AA" w14:textId="2FF5AAFB" w:rsidR="00846BC9" w:rsidRPr="001723C9" w:rsidRDefault="00846BC9" w:rsidP="00846BC9">
            <w:pPr>
              <w:pStyle w:val="ColumnHeading"/>
              <w:rPr>
                <w:rFonts w:asciiTheme="minorHAnsi" w:hAnsiTheme="minorHAnsi" w:cstheme="minorHAnsi"/>
                <w:b w:val="0"/>
                <w:bCs/>
                <w:sz w:val="22"/>
                <w:szCs w:val="22"/>
              </w:rPr>
            </w:pPr>
            <w:r w:rsidRPr="001D3CC5">
              <w:rPr>
                <w:rFonts w:asciiTheme="minorHAnsi" w:hAnsiTheme="minorHAnsi" w:cstheme="minorHAnsi"/>
                <w:b w:val="0"/>
                <w:bCs/>
                <w:sz w:val="22"/>
                <w:szCs w:val="22"/>
              </w:rPr>
              <w:t>Non-Confidential</w:t>
            </w:r>
          </w:p>
        </w:tc>
        <w:tc>
          <w:tcPr>
            <w:tcW w:w="7040" w:type="dxa"/>
          </w:tcPr>
          <w:p w14:paraId="5AAFA501" w14:textId="6352581F" w:rsidR="00846BC9" w:rsidRPr="00DB770B"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A possible but unattractive alternative would be to reduce the MIC on a sliding scale based on the percentage of excess capacity used. Such a solution would carry contractual issues which make it less feasible.</w:t>
            </w:r>
          </w:p>
          <w:p w14:paraId="7B593C89" w14:textId="6D992777"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The variables here are the cost, the volume, and the frequency so they are</w:t>
            </w:r>
            <w:r>
              <w:rPr>
                <w:rFonts w:asciiTheme="minorHAnsi" w:hAnsiTheme="minorHAnsi" w:cstheme="minorHAnsi"/>
                <w:b w:val="0"/>
                <w:bCs/>
                <w:sz w:val="22"/>
                <w:szCs w:val="22"/>
                <w:lang w:val="en-GB"/>
              </w:rPr>
              <w:t xml:space="preserve"> </w:t>
            </w:r>
            <w:r w:rsidRPr="00DB770B">
              <w:rPr>
                <w:rFonts w:asciiTheme="minorHAnsi" w:hAnsiTheme="minorHAnsi" w:cstheme="minorHAnsi"/>
                <w:b w:val="0"/>
                <w:bCs/>
                <w:sz w:val="22"/>
                <w:szCs w:val="22"/>
                <w:lang w:val="en-GB"/>
              </w:rPr>
              <w:t>the only factors that could be targeted in the fix.</w:t>
            </w:r>
          </w:p>
        </w:tc>
        <w:tc>
          <w:tcPr>
            <w:tcW w:w="3747" w:type="dxa"/>
            <w:shd w:val="clear" w:color="auto" w:fill="E2EFD9" w:themeFill="accent6" w:themeFillTint="33"/>
          </w:tcPr>
          <w:p w14:paraId="2974558C" w14:textId="427B9AF9" w:rsidR="00846BC9" w:rsidRPr="001723C9" w:rsidRDefault="00CD65E5"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 xml:space="preserve">Clarity provided to note that by </w:t>
            </w:r>
            <w:r w:rsidR="003E41F4">
              <w:rPr>
                <w:rFonts w:asciiTheme="minorHAnsi" w:hAnsiTheme="minorHAnsi" w:cstheme="minorHAnsi"/>
                <w:b w:val="0"/>
                <w:bCs/>
                <w:sz w:val="22"/>
                <w:szCs w:val="22"/>
              </w:rPr>
              <w:t>‘</w:t>
            </w:r>
            <w:r>
              <w:rPr>
                <w:rFonts w:asciiTheme="minorHAnsi" w:hAnsiTheme="minorHAnsi" w:cstheme="minorHAnsi"/>
                <w:b w:val="0"/>
                <w:bCs/>
                <w:sz w:val="22"/>
                <w:szCs w:val="22"/>
              </w:rPr>
              <w:t>reducing ther MIC on a sliding scale</w:t>
            </w:r>
            <w:r w:rsidR="003E41F4">
              <w:rPr>
                <w:rFonts w:asciiTheme="minorHAnsi" w:hAnsiTheme="minorHAnsi" w:cstheme="minorHAnsi"/>
                <w:b w:val="0"/>
                <w:bCs/>
                <w:sz w:val="22"/>
                <w:szCs w:val="22"/>
              </w:rPr>
              <w:t>’</w:t>
            </w:r>
            <w:r>
              <w:rPr>
                <w:rFonts w:asciiTheme="minorHAnsi" w:hAnsiTheme="minorHAnsi" w:cstheme="minorHAnsi"/>
                <w:b w:val="0"/>
                <w:bCs/>
                <w:sz w:val="22"/>
                <w:szCs w:val="22"/>
              </w:rPr>
              <w:t xml:space="preserve"> was speficially the volume ie phyically restricitng the</w:t>
            </w:r>
            <w:r w:rsidR="003E41F4">
              <w:rPr>
                <w:rFonts w:asciiTheme="minorHAnsi" w:hAnsiTheme="minorHAnsi" w:cstheme="minorHAnsi"/>
                <w:b w:val="0"/>
                <w:bCs/>
                <w:sz w:val="22"/>
                <w:szCs w:val="22"/>
              </w:rPr>
              <w:t xml:space="preserve">ir demand to the </w:t>
            </w:r>
            <w:r>
              <w:rPr>
                <w:rFonts w:asciiTheme="minorHAnsi" w:hAnsiTheme="minorHAnsi" w:cstheme="minorHAnsi"/>
                <w:b w:val="0"/>
                <w:bCs/>
                <w:sz w:val="22"/>
                <w:szCs w:val="22"/>
              </w:rPr>
              <w:t xml:space="preserve"> suppl</w:t>
            </w:r>
            <w:r w:rsidR="003E41F4">
              <w:rPr>
                <w:rFonts w:asciiTheme="minorHAnsi" w:hAnsiTheme="minorHAnsi" w:cstheme="minorHAnsi"/>
                <w:b w:val="0"/>
                <w:bCs/>
                <w:sz w:val="22"/>
                <w:szCs w:val="22"/>
              </w:rPr>
              <w:t>y capacity</w:t>
            </w:r>
            <w:r>
              <w:rPr>
                <w:rFonts w:asciiTheme="minorHAnsi" w:hAnsiTheme="minorHAnsi" w:cstheme="minorHAnsi"/>
                <w:b w:val="0"/>
                <w:bCs/>
                <w:sz w:val="22"/>
                <w:szCs w:val="22"/>
              </w:rPr>
              <w:t>. It was noted that whilst this was a posible solution, it was mentioned by the responder</w:t>
            </w:r>
            <w:r w:rsidR="003E41F4">
              <w:rPr>
                <w:rFonts w:asciiTheme="minorHAnsi" w:hAnsiTheme="minorHAnsi" w:cstheme="minorHAnsi"/>
                <w:b w:val="0"/>
                <w:bCs/>
                <w:sz w:val="22"/>
                <w:szCs w:val="22"/>
              </w:rPr>
              <w:t xml:space="preserve"> that this wouldnt be an ideal solution. </w:t>
            </w:r>
          </w:p>
        </w:tc>
      </w:tr>
      <w:tr w:rsidR="00846BC9" w:rsidRPr="001723C9" w14:paraId="6812EF35" w14:textId="77777777" w:rsidTr="005B462E">
        <w:tc>
          <w:tcPr>
            <w:tcW w:w="1730" w:type="dxa"/>
          </w:tcPr>
          <w:p w14:paraId="53B70015"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2E8AFBDF" w14:textId="7EAD20AB" w:rsidR="00846BC9" w:rsidRPr="001723C9" w:rsidRDefault="00846BC9" w:rsidP="00846BC9">
            <w:pPr>
              <w:pStyle w:val="ColumnHeading"/>
              <w:rPr>
                <w:rFonts w:asciiTheme="minorHAnsi" w:hAnsiTheme="minorHAnsi" w:cstheme="minorHAnsi"/>
                <w:b w:val="0"/>
                <w:bCs/>
                <w:sz w:val="22"/>
                <w:szCs w:val="22"/>
              </w:rPr>
            </w:pPr>
            <w:r w:rsidRPr="001D3CC5">
              <w:rPr>
                <w:rFonts w:asciiTheme="minorHAnsi" w:hAnsiTheme="minorHAnsi" w:cstheme="minorHAnsi"/>
                <w:b w:val="0"/>
                <w:bCs/>
                <w:sz w:val="22"/>
                <w:szCs w:val="22"/>
              </w:rPr>
              <w:t>Non-Confidential</w:t>
            </w:r>
          </w:p>
        </w:tc>
        <w:tc>
          <w:tcPr>
            <w:tcW w:w="7040" w:type="dxa"/>
          </w:tcPr>
          <w:p w14:paraId="24ED767A" w14:textId="6B64DBB6"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None that we can think of at this time.</w:t>
            </w:r>
          </w:p>
        </w:tc>
        <w:tc>
          <w:tcPr>
            <w:tcW w:w="3747" w:type="dxa"/>
            <w:shd w:val="clear" w:color="auto" w:fill="E2EFD9" w:themeFill="accent6" w:themeFillTint="33"/>
          </w:tcPr>
          <w:p w14:paraId="44E6DF5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C6B738C" w14:textId="77777777" w:rsidTr="005B462E">
        <w:tc>
          <w:tcPr>
            <w:tcW w:w="14076" w:type="dxa"/>
            <w:gridSpan w:val="4"/>
            <w:shd w:val="clear" w:color="auto" w:fill="E2EFD9" w:themeFill="accent6" w:themeFillTint="33"/>
          </w:tcPr>
          <w:p w14:paraId="5443AE7D" w14:textId="3433BB9C" w:rsidR="00F12E5F" w:rsidRPr="00F12E5F" w:rsidRDefault="00846BC9" w:rsidP="00F12E5F">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F12E5F" w:rsidRPr="00F12E5F">
              <w:rPr>
                <w:rFonts w:asciiTheme="minorHAnsi" w:hAnsiTheme="minorHAnsi" w:cstheme="minorHAnsi"/>
                <w:bCs/>
                <w:sz w:val="22"/>
                <w:szCs w:val="22"/>
                <w:lang w:val="en-GB"/>
              </w:rPr>
              <w:t>Five responders offered no alternative solution.</w:t>
            </w:r>
          </w:p>
          <w:p w14:paraId="4389C93A" w14:textId="4244BDF1"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 xml:space="preserve">Two responders queried if amending the National Terms </w:t>
            </w:r>
            <w:proofErr w:type="gramStart"/>
            <w:r w:rsidRPr="00F12E5F">
              <w:rPr>
                <w:rFonts w:asciiTheme="minorHAnsi" w:hAnsiTheme="minorHAnsi" w:cstheme="minorHAnsi"/>
                <w:bCs/>
                <w:sz w:val="22"/>
                <w:szCs w:val="22"/>
                <w:lang w:val="en-GB"/>
              </w:rPr>
              <w:t>Of</w:t>
            </w:r>
            <w:proofErr w:type="gramEnd"/>
            <w:r w:rsidRPr="00F12E5F">
              <w:rPr>
                <w:rFonts w:asciiTheme="minorHAnsi" w:hAnsiTheme="minorHAnsi" w:cstheme="minorHAnsi"/>
                <w:bCs/>
                <w:sz w:val="22"/>
                <w:szCs w:val="22"/>
                <w:lang w:val="en-GB"/>
              </w:rPr>
              <w:t xml:space="preserve"> Connection to give the DNO more powers when a customer exceeds their capacity is an alternative approach that could be considered.</w:t>
            </w:r>
          </w:p>
          <w:p w14:paraId="17F98B6B" w14:textId="20B1AD9E" w:rsidR="00F12E5F" w:rsidRPr="00F12E5F" w:rsidRDefault="00F12E5F" w:rsidP="00F12E5F">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One responder noted that reducing the MIC on a sliding scale, specifically the volume i.e. physically restricting their access to the capacity may be an alternative solution. They also noted that whilst this may a possible solution, they didn’t believe it would be ideal.</w:t>
            </w:r>
          </w:p>
          <w:p w14:paraId="100A0B98" w14:textId="4416F315" w:rsidR="00846BC9" w:rsidRPr="001723C9" w:rsidRDefault="00F12E5F" w:rsidP="00846BC9">
            <w:pPr>
              <w:pStyle w:val="BodyText"/>
              <w:rPr>
                <w:rFonts w:asciiTheme="minorHAnsi" w:hAnsiTheme="minorHAnsi" w:cstheme="minorHAnsi"/>
                <w:bCs/>
                <w:sz w:val="22"/>
                <w:szCs w:val="22"/>
                <w:lang w:val="en-GB"/>
              </w:rPr>
            </w:pPr>
            <w:r w:rsidRPr="00F12E5F">
              <w:rPr>
                <w:rFonts w:asciiTheme="minorHAnsi" w:hAnsiTheme="minorHAnsi" w:cstheme="minorHAnsi"/>
                <w:bCs/>
                <w:sz w:val="22"/>
                <w:szCs w:val="22"/>
                <w:lang w:val="en-GB"/>
              </w:rPr>
              <w:t>Another suggested that where the MIC is being exceeded, DNOs should be contacting customers to highlight this and putting in place processes to agree new MICs where required.</w:t>
            </w:r>
          </w:p>
        </w:tc>
      </w:tr>
    </w:tbl>
    <w:p w14:paraId="57A0413A"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0995F7E"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07821F3D"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Should a change in MIC, either an increase or a decrease (as in example 7 and 8 above), reset the excess capacity charges? Please provide rationale.</w:t>
            </w:r>
          </w:p>
        </w:tc>
        <w:tc>
          <w:tcPr>
            <w:tcW w:w="3747" w:type="dxa"/>
            <w:shd w:val="clear" w:color="auto" w:fill="E2EFD9" w:themeFill="accent6" w:themeFillTint="33"/>
          </w:tcPr>
          <w:p w14:paraId="7CCB836F"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22C9C47F" w14:textId="77777777" w:rsidTr="005B462E">
        <w:tc>
          <w:tcPr>
            <w:tcW w:w="1730" w:type="dxa"/>
          </w:tcPr>
          <w:p w14:paraId="508C2328"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BUUK</w:t>
            </w:r>
          </w:p>
        </w:tc>
        <w:tc>
          <w:tcPr>
            <w:tcW w:w="1559" w:type="dxa"/>
          </w:tcPr>
          <w:p w14:paraId="2B2D8AF3" w14:textId="72DBD061"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0D3868D1" w14:textId="002E9510"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No. This could result in many changes to the MIC in one year, which could result in an increase in invoice queries, investigation of these have the risk of being costly and resource intensive.</w:t>
            </w:r>
          </w:p>
        </w:tc>
        <w:tc>
          <w:tcPr>
            <w:tcW w:w="3747" w:type="dxa"/>
            <w:shd w:val="clear" w:color="auto" w:fill="E2EFD9" w:themeFill="accent6" w:themeFillTint="33"/>
          </w:tcPr>
          <w:p w14:paraId="4819D9EA"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42482119" w14:textId="77777777" w:rsidTr="005B462E">
        <w:tc>
          <w:tcPr>
            <w:tcW w:w="1730" w:type="dxa"/>
          </w:tcPr>
          <w:p w14:paraId="3183F17D"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DD4087A" w14:textId="7D0FCE06" w:rsidR="00F65952" w:rsidRPr="001723C9" w:rsidRDefault="00F65952" w:rsidP="00F65952">
            <w:pPr>
              <w:pStyle w:val="ColumnHeading"/>
              <w:rPr>
                <w:rFonts w:asciiTheme="minorHAnsi" w:hAnsiTheme="minorHAnsi" w:cstheme="minorHAnsi"/>
                <w:b w:val="0"/>
                <w:bCs/>
                <w:sz w:val="22"/>
                <w:szCs w:val="22"/>
              </w:rPr>
            </w:pPr>
            <w:r w:rsidRPr="00853B27">
              <w:rPr>
                <w:rFonts w:asciiTheme="minorHAnsi" w:hAnsiTheme="minorHAnsi" w:cstheme="minorHAnsi"/>
                <w:b w:val="0"/>
                <w:bCs/>
                <w:sz w:val="22"/>
                <w:szCs w:val="22"/>
              </w:rPr>
              <w:t>Non-Confidential</w:t>
            </w:r>
          </w:p>
        </w:tc>
        <w:tc>
          <w:tcPr>
            <w:tcW w:w="7040" w:type="dxa"/>
          </w:tcPr>
          <w:p w14:paraId="3A55EF69" w14:textId="1C81A9E6"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believe this is a more cost reflective solution. As capacity is at a premium on the network customers who are below their MIC should be able to reduce their MIC and financially benefit.  </w:t>
            </w:r>
          </w:p>
        </w:tc>
        <w:tc>
          <w:tcPr>
            <w:tcW w:w="3747" w:type="dxa"/>
            <w:shd w:val="clear" w:color="auto" w:fill="E2EFD9" w:themeFill="accent6" w:themeFillTint="33"/>
          </w:tcPr>
          <w:p w14:paraId="0DCE66BD"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8C58439" w14:textId="77777777" w:rsidTr="005B462E">
        <w:tc>
          <w:tcPr>
            <w:tcW w:w="1730" w:type="dxa"/>
          </w:tcPr>
          <w:p w14:paraId="642A9E03"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51FCC270" w14:textId="625FC85E" w:rsidR="00F65952" w:rsidRPr="001723C9" w:rsidRDefault="00F65952" w:rsidP="00F65952">
            <w:pPr>
              <w:pStyle w:val="ColumnHeading"/>
              <w:rPr>
                <w:rFonts w:asciiTheme="minorHAnsi" w:hAnsiTheme="minorHAnsi" w:cstheme="minorHAnsi"/>
                <w:b w:val="0"/>
                <w:bCs/>
                <w:sz w:val="22"/>
                <w:szCs w:val="22"/>
                <w:lang w:val="en-GB"/>
              </w:rPr>
            </w:pPr>
            <w:r w:rsidRPr="00853B27">
              <w:rPr>
                <w:rFonts w:asciiTheme="minorHAnsi" w:hAnsiTheme="minorHAnsi" w:cstheme="minorHAnsi"/>
                <w:b w:val="0"/>
                <w:bCs/>
                <w:sz w:val="22"/>
                <w:szCs w:val="22"/>
              </w:rPr>
              <w:t>Non-Confidential</w:t>
            </w:r>
          </w:p>
        </w:tc>
        <w:tc>
          <w:tcPr>
            <w:tcW w:w="7040" w:type="dxa"/>
          </w:tcPr>
          <w:p w14:paraId="68BC2B5C" w14:textId="5E1B0D90"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In the consequence of 12 months then it would seem sensible to reset but do not need to reset for doubling.</w:t>
            </w:r>
          </w:p>
        </w:tc>
        <w:tc>
          <w:tcPr>
            <w:tcW w:w="3747" w:type="dxa"/>
            <w:shd w:val="clear" w:color="auto" w:fill="E2EFD9" w:themeFill="accent6" w:themeFillTint="33"/>
          </w:tcPr>
          <w:p w14:paraId="15D85F1C"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6ECBEC41" w14:textId="77777777" w:rsidTr="005B462E">
        <w:tc>
          <w:tcPr>
            <w:tcW w:w="1730" w:type="dxa"/>
          </w:tcPr>
          <w:p w14:paraId="3C6E4A63" w14:textId="701ED651"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6E287CF9" w14:textId="0F96B8A9" w:rsidR="00F65952" w:rsidRPr="001723C9" w:rsidRDefault="00F65952" w:rsidP="00F65952">
            <w:pPr>
              <w:pStyle w:val="ColumnHeading"/>
              <w:rPr>
                <w:rFonts w:asciiTheme="minorHAnsi" w:hAnsiTheme="minorHAnsi" w:cstheme="minorHAnsi"/>
                <w:b w:val="0"/>
                <w:bCs/>
                <w:sz w:val="22"/>
                <w:szCs w:val="22"/>
              </w:rPr>
            </w:pPr>
            <w:r w:rsidRPr="00853B27">
              <w:rPr>
                <w:rFonts w:asciiTheme="minorHAnsi" w:hAnsiTheme="minorHAnsi" w:cstheme="minorHAnsi"/>
                <w:b w:val="0"/>
                <w:bCs/>
                <w:sz w:val="22"/>
                <w:szCs w:val="22"/>
              </w:rPr>
              <w:t>Non-Confidential</w:t>
            </w:r>
          </w:p>
        </w:tc>
        <w:tc>
          <w:tcPr>
            <w:tcW w:w="7040" w:type="dxa"/>
          </w:tcPr>
          <w:p w14:paraId="29ED5D23"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No. If the principle of the proposed solution is that the cost has been incurred for a full year then if the capacity has been exceeded then changing the MIC does not negate this. A change in tenancy would not reset the excess capacity so a decrease in MIC should not either. </w:t>
            </w:r>
          </w:p>
          <w:p w14:paraId="33231AA8" w14:textId="77777777" w:rsidR="00023295" w:rsidRPr="00023295" w:rsidRDefault="00023295" w:rsidP="00023295">
            <w:pPr>
              <w:rPr>
                <w:lang w:val="en-GB"/>
              </w:rPr>
            </w:pPr>
          </w:p>
          <w:p w14:paraId="121ADE56"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One complication with this would be what the chargeable capacity should be if the MIC is decreased. If we say that the original MIC was M1, say 100kVA, and the max demand was MD, say 110kVA, then the amount exceeded is E = MD – M1 = 10kVA and the customer could be charged this 10kVA for 12 months. If the site reduced capacity in that 12 months to M2 = 90kVA then would the chargeable capacity remain at 110kVA, meaning that they are effectively paying for 20kVA excess capacity? Or would the excess remain at 10kVA, meaning that the chargeable capacity becomes 100kVA? </w:t>
            </w:r>
          </w:p>
          <w:p w14:paraId="113CB05D" w14:textId="77777777" w:rsidR="00023295" w:rsidRPr="00023295" w:rsidRDefault="00023295" w:rsidP="00023295">
            <w:pPr>
              <w:rPr>
                <w:lang w:val="en-GB"/>
              </w:rPr>
            </w:pPr>
          </w:p>
          <w:p w14:paraId="373FB17A" w14:textId="77777777" w:rsidR="00F65952"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For the increase in MIC, if this was set to equal or above the MD then this would automatically supersede the MD as the chargeable capacity anyway.</w:t>
            </w:r>
          </w:p>
          <w:p w14:paraId="08965B29" w14:textId="77777777" w:rsidR="00023295" w:rsidRDefault="00023295" w:rsidP="00023295"/>
          <w:p w14:paraId="224F4176" w14:textId="6EFBF90F" w:rsidR="00023295" w:rsidRPr="00023295" w:rsidRDefault="00023295" w:rsidP="00023295">
            <w:pPr>
              <w:rPr>
                <w:rFonts w:asciiTheme="minorHAnsi" w:hAnsiTheme="minorHAnsi" w:cstheme="minorHAnsi"/>
              </w:rPr>
            </w:pPr>
            <w:r w:rsidRPr="00023295">
              <w:rPr>
                <w:rFonts w:asciiTheme="minorHAnsi" w:hAnsiTheme="minorHAnsi" w:cstheme="minorHAnsi"/>
                <w:sz w:val="22"/>
                <w:szCs w:val="22"/>
              </w:rPr>
              <w:lastRenderedPageBreak/>
              <w:t>If it was set to less than the MD then the same issue as identified for a decrease in MIC still applies.</w:t>
            </w:r>
          </w:p>
        </w:tc>
        <w:tc>
          <w:tcPr>
            <w:tcW w:w="3747" w:type="dxa"/>
            <w:shd w:val="clear" w:color="auto" w:fill="E2EFD9" w:themeFill="accent6" w:themeFillTint="33"/>
          </w:tcPr>
          <w:p w14:paraId="558F2003"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19D0B63" w14:textId="77777777" w:rsidTr="005B462E">
        <w:tc>
          <w:tcPr>
            <w:tcW w:w="1730" w:type="dxa"/>
          </w:tcPr>
          <w:p w14:paraId="2033594D"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CF590CC" w14:textId="2436DE33" w:rsidR="00F65952" w:rsidRPr="001723C9" w:rsidRDefault="00F65952" w:rsidP="00F65952">
            <w:pPr>
              <w:pStyle w:val="ColumnHeading"/>
              <w:rPr>
                <w:rFonts w:asciiTheme="minorHAnsi" w:hAnsiTheme="minorHAnsi" w:cstheme="minorHAnsi"/>
                <w:b w:val="0"/>
                <w:bCs/>
                <w:sz w:val="22"/>
                <w:szCs w:val="22"/>
              </w:rPr>
            </w:pPr>
            <w:r w:rsidRPr="00853B27">
              <w:rPr>
                <w:rFonts w:asciiTheme="minorHAnsi" w:hAnsiTheme="minorHAnsi" w:cstheme="minorHAnsi"/>
                <w:b w:val="0"/>
                <w:bCs/>
                <w:sz w:val="22"/>
                <w:szCs w:val="22"/>
              </w:rPr>
              <w:t>Non-Confidential</w:t>
            </w:r>
          </w:p>
        </w:tc>
        <w:tc>
          <w:tcPr>
            <w:tcW w:w="7040" w:type="dxa"/>
          </w:tcPr>
          <w:p w14:paraId="23C0DA4C" w14:textId="056545E8" w:rsidR="00F65952" w:rsidRPr="0093655A" w:rsidRDefault="00023295" w:rsidP="00F65952">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 xml:space="preserve">Excess Charges should be applied when the authorised capacity is exceeded on a month-by-month MIC level forward basis.  </w:t>
            </w:r>
          </w:p>
        </w:tc>
        <w:tc>
          <w:tcPr>
            <w:tcW w:w="3747" w:type="dxa"/>
            <w:shd w:val="clear" w:color="auto" w:fill="E2EFD9" w:themeFill="accent6" w:themeFillTint="33"/>
          </w:tcPr>
          <w:p w14:paraId="38835693"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7A95245E" w14:textId="77777777" w:rsidTr="005B462E">
        <w:tc>
          <w:tcPr>
            <w:tcW w:w="1730" w:type="dxa"/>
          </w:tcPr>
          <w:p w14:paraId="15E77BC6" w14:textId="3B3B2053"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6C842076" w14:textId="6653DEAD" w:rsidR="00846BC9" w:rsidRPr="00853B27"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80B7458" w14:textId="77777777" w:rsidR="00846BC9" w:rsidRDefault="00BB00BF" w:rsidP="00846BC9">
            <w:pPr>
              <w:pStyle w:val="ColumnHeading"/>
              <w:rPr>
                <w:rFonts w:asciiTheme="minorHAnsi" w:hAnsiTheme="minorHAnsi" w:cstheme="minorHAnsi"/>
                <w:b w:val="0"/>
                <w:bCs/>
                <w:sz w:val="22"/>
                <w:szCs w:val="22"/>
                <w:lang w:val="en-GB"/>
              </w:rPr>
            </w:pPr>
            <w:r w:rsidRPr="00BB00BF">
              <w:rPr>
                <w:rFonts w:asciiTheme="minorHAnsi" w:hAnsiTheme="minorHAnsi" w:cstheme="minorHAnsi"/>
                <w:b w:val="0"/>
                <w:bCs/>
                <w:sz w:val="22"/>
                <w:szCs w:val="22"/>
                <w:lang w:val="en-GB"/>
              </w:rPr>
              <w:t>Should a customer change their MIC, then we believe that any excess capacity charges should be reset providing that the increase reflects the MIC. If, following an agreed increase in their MIC, the customer is still exceeding their agreed capacity, excess charges should still be applied.</w:t>
            </w:r>
          </w:p>
          <w:p w14:paraId="4F2F572F" w14:textId="77777777" w:rsidR="00BB00BF" w:rsidRDefault="00BB00BF" w:rsidP="00BB00BF"/>
          <w:p w14:paraId="23DE3E4A" w14:textId="06CC4491" w:rsidR="00BB00BF" w:rsidRPr="00BB00BF" w:rsidRDefault="00BB00BF" w:rsidP="00BB00BF">
            <w:pPr>
              <w:rPr>
                <w:rFonts w:asciiTheme="minorHAnsi" w:hAnsiTheme="minorHAnsi" w:cstheme="minorHAnsi"/>
              </w:rPr>
            </w:pPr>
            <w:r w:rsidRPr="00BB00BF">
              <w:rPr>
                <w:rFonts w:asciiTheme="minorHAnsi" w:hAnsiTheme="minorHAnsi" w:cstheme="minorHAnsi"/>
                <w:sz w:val="22"/>
                <w:szCs w:val="22"/>
                <w:lang w:val="en-GB"/>
              </w:rPr>
              <w:t>If the customer requests to reduce their MIC, although they have exceeded the capacity in the preceding months, the DNO should be able to reject the reduction until the customers demand matches that of their request.</w:t>
            </w:r>
          </w:p>
        </w:tc>
        <w:tc>
          <w:tcPr>
            <w:tcW w:w="3747" w:type="dxa"/>
            <w:shd w:val="clear" w:color="auto" w:fill="E2EFD9" w:themeFill="accent6" w:themeFillTint="33"/>
          </w:tcPr>
          <w:p w14:paraId="20085442"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B39F516" w14:textId="77777777" w:rsidTr="005B462E">
        <w:tc>
          <w:tcPr>
            <w:tcW w:w="1730" w:type="dxa"/>
          </w:tcPr>
          <w:p w14:paraId="2F28540C" w14:textId="3A927A79"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392D0C14" w14:textId="207155D1" w:rsidR="00846BC9" w:rsidRPr="00853B27"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161F7EC" w14:textId="77777777" w:rsidR="00846BC9"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We think that where a user’s MIC has been increased (by that user) to the level of their maximum demand in the last 12 months, their exceeded capacity charge should be ceased from that point onwards, given that the price signal has had the desired effect (as per Example 8 of Attachment 3).</w:t>
            </w:r>
          </w:p>
          <w:p w14:paraId="04BDD299" w14:textId="77777777" w:rsidR="00AC1944" w:rsidRPr="00AC1944" w:rsidRDefault="00AC1944" w:rsidP="00AC1944">
            <w:pPr>
              <w:rPr>
                <w:rFonts w:asciiTheme="minorHAnsi" w:hAnsiTheme="minorHAnsi" w:cstheme="minorHAnsi"/>
                <w:sz w:val="22"/>
                <w:szCs w:val="22"/>
              </w:rPr>
            </w:pPr>
          </w:p>
          <w:p w14:paraId="10352C31" w14:textId="3EBC004D" w:rsidR="00AC1944" w:rsidRPr="00AC1944" w:rsidRDefault="00AC1944" w:rsidP="00AC1944">
            <w:r w:rsidRPr="00AC1944">
              <w:rPr>
                <w:rFonts w:asciiTheme="minorHAnsi" w:hAnsiTheme="minorHAnsi" w:cstheme="minorHAnsi"/>
                <w:sz w:val="22"/>
                <w:szCs w:val="22"/>
                <w:lang w:val="en-GB"/>
              </w:rPr>
              <w:t>However, where a user’s MIC has been reduced (by that user) following an exceedance, we consider that the user should remain liable for their exceeded capacity charge for the full 12 months, based on their previous, higher MIC (i.e. not as per Example 7). This is to preserve the price signal effect on that user of the exceeded capacity charge.</w:t>
            </w:r>
          </w:p>
        </w:tc>
        <w:tc>
          <w:tcPr>
            <w:tcW w:w="3747" w:type="dxa"/>
            <w:shd w:val="clear" w:color="auto" w:fill="E2EFD9" w:themeFill="accent6" w:themeFillTint="33"/>
          </w:tcPr>
          <w:p w14:paraId="62ED0DDE"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70C2758" w14:textId="77777777" w:rsidTr="005B462E">
        <w:tc>
          <w:tcPr>
            <w:tcW w:w="1730" w:type="dxa"/>
          </w:tcPr>
          <w:p w14:paraId="20CAA178"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18A13D88" w14:textId="67F703D8" w:rsidR="00846BC9" w:rsidRPr="001723C9" w:rsidRDefault="00846BC9" w:rsidP="00846BC9">
            <w:pPr>
              <w:pStyle w:val="ColumnHeading"/>
              <w:rPr>
                <w:rFonts w:asciiTheme="minorHAnsi" w:hAnsiTheme="minorHAnsi" w:cstheme="minorHAnsi"/>
                <w:b w:val="0"/>
                <w:bCs/>
                <w:sz w:val="22"/>
                <w:szCs w:val="22"/>
              </w:rPr>
            </w:pPr>
            <w:r w:rsidRPr="00853B27">
              <w:rPr>
                <w:rFonts w:asciiTheme="minorHAnsi" w:hAnsiTheme="minorHAnsi" w:cstheme="minorHAnsi"/>
                <w:b w:val="0"/>
                <w:bCs/>
                <w:sz w:val="22"/>
                <w:szCs w:val="22"/>
              </w:rPr>
              <w:t>Non-Confidential</w:t>
            </w:r>
          </w:p>
        </w:tc>
        <w:tc>
          <w:tcPr>
            <w:tcW w:w="7040" w:type="dxa"/>
          </w:tcPr>
          <w:p w14:paraId="7CC24213" w14:textId="44F21C36" w:rsidR="00846BC9" w:rsidRPr="00DE2A65" w:rsidRDefault="00846BC9" w:rsidP="00846BC9">
            <w:pPr>
              <w:pStyle w:val="ColumnHeading"/>
              <w:rPr>
                <w:rFonts w:asciiTheme="minorHAnsi" w:hAnsiTheme="minorHAnsi" w:cstheme="minorHAnsi"/>
                <w:b w:val="0"/>
                <w:bCs/>
                <w:sz w:val="22"/>
                <w:szCs w:val="22"/>
                <w:lang w:val="en-GB"/>
              </w:rPr>
            </w:pPr>
            <w:proofErr w:type="gramStart"/>
            <w:r w:rsidRPr="00DB770B">
              <w:rPr>
                <w:rFonts w:asciiTheme="minorHAnsi" w:hAnsiTheme="minorHAnsi" w:cstheme="minorHAnsi"/>
                <w:b w:val="0"/>
                <w:bCs/>
                <w:sz w:val="22"/>
                <w:szCs w:val="22"/>
                <w:lang w:val="en-GB"/>
              </w:rPr>
              <w:t>Yes</w:t>
            </w:r>
            <w:proofErr w:type="gramEnd"/>
            <w:r w:rsidRPr="00DB770B">
              <w:rPr>
                <w:rFonts w:asciiTheme="minorHAnsi" w:hAnsiTheme="minorHAnsi" w:cstheme="minorHAnsi"/>
                <w:b w:val="0"/>
                <w:bCs/>
                <w:sz w:val="22"/>
                <w:szCs w:val="22"/>
                <w:lang w:val="en-GB"/>
              </w:rPr>
              <w:t xml:space="preserve"> if the MIC is changed it should reset the excess capacity charges. Part of the problem is the lack of distance between the regular and excess charges </w:t>
            </w:r>
            <w:r w:rsidRPr="00DB770B">
              <w:rPr>
                <w:rFonts w:asciiTheme="minorHAnsi" w:hAnsiTheme="minorHAnsi" w:cstheme="minorHAnsi"/>
                <w:b w:val="0"/>
                <w:bCs/>
                <w:sz w:val="22"/>
                <w:szCs w:val="22"/>
                <w:lang w:val="en-GB"/>
              </w:rPr>
              <w:lastRenderedPageBreak/>
              <w:t>meaning people don’t update their MICs, if this doesn’t happen it would be another reason for customers to not update their MICs as there would be less benefit from it. It would also be more reflective of any changes in the site use.</w:t>
            </w:r>
          </w:p>
        </w:tc>
        <w:tc>
          <w:tcPr>
            <w:tcW w:w="3747" w:type="dxa"/>
            <w:shd w:val="clear" w:color="auto" w:fill="E2EFD9" w:themeFill="accent6" w:themeFillTint="33"/>
          </w:tcPr>
          <w:p w14:paraId="436DD18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6325874" w14:textId="77777777" w:rsidTr="005B462E">
        <w:tc>
          <w:tcPr>
            <w:tcW w:w="1730" w:type="dxa"/>
          </w:tcPr>
          <w:p w14:paraId="584E4C1C"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4ECAB2A6" w14:textId="0A5B73F4" w:rsidR="00846BC9" w:rsidRPr="001723C9" w:rsidRDefault="00846BC9" w:rsidP="00846BC9">
            <w:pPr>
              <w:pStyle w:val="ColumnHeading"/>
              <w:rPr>
                <w:rFonts w:asciiTheme="minorHAnsi" w:hAnsiTheme="minorHAnsi" w:cstheme="minorHAnsi"/>
                <w:b w:val="0"/>
                <w:bCs/>
                <w:sz w:val="22"/>
                <w:szCs w:val="22"/>
              </w:rPr>
            </w:pPr>
            <w:r w:rsidRPr="00853B27">
              <w:rPr>
                <w:rFonts w:asciiTheme="minorHAnsi" w:hAnsiTheme="minorHAnsi" w:cstheme="minorHAnsi"/>
                <w:b w:val="0"/>
                <w:bCs/>
                <w:sz w:val="22"/>
                <w:szCs w:val="22"/>
              </w:rPr>
              <w:t>Non-Confidential</w:t>
            </w:r>
          </w:p>
        </w:tc>
        <w:tc>
          <w:tcPr>
            <w:tcW w:w="7040" w:type="dxa"/>
          </w:tcPr>
          <w:p w14:paraId="51347A66" w14:textId="433FB4A4" w:rsidR="00846BC9" w:rsidRPr="00DE2A65" w:rsidRDefault="00846BC9" w:rsidP="00846BC9">
            <w:pPr>
              <w:pStyle w:val="ColumnHeading"/>
              <w:rPr>
                <w:rFonts w:asciiTheme="minorHAnsi" w:hAnsiTheme="minorHAnsi" w:cstheme="minorHAnsi"/>
                <w:b w:val="0"/>
                <w:bCs/>
                <w:sz w:val="22"/>
                <w:szCs w:val="22"/>
                <w:lang w:val="en-GB"/>
              </w:rPr>
            </w:pPr>
            <w:proofErr w:type="gramStart"/>
            <w:r w:rsidRPr="005C7D70">
              <w:rPr>
                <w:rFonts w:asciiTheme="minorHAnsi" w:hAnsiTheme="minorHAnsi" w:cstheme="minorHAnsi"/>
                <w:b w:val="0"/>
                <w:bCs/>
                <w:sz w:val="22"/>
                <w:szCs w:val="22"/>
                <w:lang w:val="en-GB"/>
              </w:rPr>
              <w:t>Yes</w:t>
            </w:r>
            <w:proofErr w:type="gramEnd"/>
            <w:r w:rsidRPr="005C7D70">
              <w:rPr>
                <w:rFonts w:asciiTheme="minorHAnsi" w:hAnsiTheme="minorHAnsi" w:cstheme="minorHAnsi"/>
                <w:b w:val="0"/>
                <w:bCs/>
                <w:sz w:val="22"/>
                <w:szCs w:val="22"/>
                <w:lang w:val="en-GB"/>
              </w:rPr>
              <w:t xml:space="preserve"> we believe that where there is a change of the MIC (increase or decrease) then the exceeded capacity charge calculation should be reset, as by not doing so would result in the customer facing charges which are no longer appropriate. For increases, the customer has taken the appropriate behaviour, for decreases the excess would be overly high.</w:t>
            </w:r>
          </w:p>
        </w:tc>
        <w:tc>
          <w:tcPr>
            <w:tcW w:w="3747" w:type="dxa"/>
            <w:shd w:val="clear" w:color="auto" w:fill="E2EFD9" w:themeFill="accent6" w:themeFillTint="33"/>
          </w:tcPr>
          <w:p w14:paraId="65486AB4"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9317678" w14:textId="77777777" w:rsidTr="005B462E">
        <w:tc>
          <w:tcPr>
            <w:tcW w:w="14076" w:type="dxa"/>
            <w:gridSpan w:val="4"/>
            <w:shd w:val="clear" w:color="auto" w:fill="E2EFD9" w:themeFill="accent6" w:themeFillTint="33"/>
          </w:tcPr>
          <w:p w14:paraId="1C74D7FB"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Overall, the responses suggested that increasing the MIC will have the outcome of what this change is looking to achieve with seven respondents saying a change in MIC should reset the excess capacity charge.</w:t>
            </w:r>
          </w:p>
          <w:p w14:paraId="498E758D" w14:textId="699606F8"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One of the respondents </w:t>
            </w:r>
            <w:proofErr w:type="spellStart"/>
            <w:proofErr w:type="gramStart"/>
            <w:r w:rsidRPr="006158DE">
              <w:rPr>
                <w:rFonts w:asciiTheme="minorHAnsi" w:hAnsiTheme="minorHAnsi" w:cstheme="minorHAnsi"/>
                <w:bCs/>
                <w:sz w:val="22"/>
                <w:szCs w:val="22"/>
                <w:lang w:val="en-GB"/>
              </w:rPr>
              <w:t>whop</w:t>
            </w:r>
            <w:proofErr w:type="spellEnd"/>
            <w:proofErr w:type="gramEnd"/>
            <w:r w:rsidRPr="006158DE">
              <w:rPr>
                <w:rFonts w:asciiTheme="minorHAnsi" w:hAnsiTheme="minorHAnsi" w:cstheme="minorHAnsi"/>
                <w:bCs/>
                <w:sz w:val="22"/>
                <w:szCs w:val="22"/>
                <w:lang w:val="en-GB"/>
              </w:rPr>
              <w:t xml:space="preserve"> didn’t believe a change in MIC should reset the excess capacity charge noted that this could result in many changes to the MIC in one year, which could result in an increase in invoice queries, investigation of these have the risk of being costly and resource intensive.</w:t>
            </w:r>
          </w:p>
          <w:p w14:paraId="401ED07F" w14:textId="795E876A"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The other responder who didn’t believe the excess capacity charge stated that</w:t>
            </w:r>
            <w:r w:rsidR="00065690">
              <w:rPr>
                <w:rFonts w:asciiTheme="minorHAnsi" w:hAnsiTheme="minorHAnsi" w:cstheme="minorHAnsi"/>
                <w:bCs/>
                <w:sz w:val="22"/>
                <w:szCs w:val="22"/>
                <w:lang w:val="en-GB"/>
              </w:rPr>
              <w:t xml:space="preserve"> </w:t>
            </w:r>
            <w:r w:rsidR="00065690" w:rsidRPr="00023295">
              <w:rPr>
                <w:rFonts w:asciiTheme="minorHAnsi" w:hAnsiTheme="minorHAnsi" w:cstheme="minorHAnsi"/>
                <w:sz w:val="22"/>
                <w:szCs w:val="22"/>
                <w:lang w:val="en-GB"/>
              </w:rPr>
              <w:t>the principle of the proposed solution is that the cost has been incurred for a full year then if the capacity has been exceeded then changing the MIC does not negate this. A change in tenancy would not reset the excess capacity so a decrease in MIC should not either.</w:t>
            </w:r>
          </w:p>
        </w:tc>
      </w:tr>
    </w:tbl>
    <w:p w14:paraId="57AAF8AD"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4FE1AA9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BDA55C1"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218992B" w14:textId="76AD7DEB"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Should this change include both import and export excess capacity charging?</w:t>
            </w:r>
          </w:p>
        </w:tc>
        <w:tc>
          <w:tcPr>
            <w:tcW w:w="3747" w:type="dxa"/>
            <w:shd w:val="clear" w:color="auto" w:fill="E2EFD9" w:themeFill="accent6" w:themeFillTint="33"/>
          </w:tcPr>
          <w:p w14:paraId="54B8C81C"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0C36E193" w14:textId="77777777" w:rsidTr="005B462E">
        <w:tc>
          <w:tcPr>
            <w:tcW w:w="1730" w:type="dxa"/>
          </w:tcPr>
          <w:p w14:paraId="1F59790F"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4685FC01" w14:textId="515F2EBB"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1D219E1D" w14:textId="0A78D40D"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No, I believe this is only relevant for import excess capacity. (Check with JN?)</w:t>
            </w:r>
          </w:p>
        </w:tc>
        <w:tc>
          <w:tcPr>
            <w:tcW w:w="3747" w:type="dxa"/>
            <w:shd w:val="clear" w:color="auto" w:fill="E2EFD9" w:themeFill="accent6" w:themeFillTint="33"/>
          </w:tcPr>
          <w:p w14:paraId="2DBB79A8"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19972A4C" w14:textId="77777777" w:rsidTr="005B462E">
        <w:tc>
          <w:tcPr>
            <w:tcW w:w="1730" w:type="dxa"/>
          </w:tcPr>
          <w:p w14:paraId="30787914"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Centrica</w:t>
            </w:r>
          </w:p>
        </w:tc>
        <w:tc>
          <w:tcPr>
            <w:tcW w:w="1559" w:type="dxa"/>
          </w:tcPr>
          <w:p w14:paraId="18C9C258" w14:textId="2E9EE9FC" w:rsidR="00F65952" w:rsidRPr="001723C9" w:rsidRDefault="00F65952" w:rsidP="00F65952">
            <w:pPr>
              <w:pStyle w:val="ColumnHeading"/>
              <w:rPr>
                <w:rFonts w:asciiTheme="minorHAnsi" w:hAnsiTheme="minorHAnsi" w:cstheme="minorHAnsi"/>
                <w:b w:val="0"/>
                <w:bCs/>
                <w:sz w:val="22"/>
                <w:szCs w:val="22"/>
              </w:rPr>
            </w:pPr>
            <w:r w:rsidRPr="006920B6">
              <w:rPr>
                <w:rFonts w:asciiTheme="minorHAnsi" w:hAnsiTheme="minorHAnsi" w:cstheme="minorHAnsi"/>
                <w:b w:val="0"/>
                <w:bCs/>
                <w:sz w:val="22"/>
                <w:szCs w:val="22"/>
              </w:rPr>
              <w:t>Non-Confidential</w:t>
            </w:r>
          </w:p>
        </w:tc>
        <w:tc>
          <w:tcPr>
            <w:tcW w:w="7040" w:type="dxa"/>
          </w:tcPr>
          <w:p w14:paraId="0F3167CA" w14:textId="567C1149"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do not see why these should be treated differently</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75675E3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4CE71484" w14:textId="77777777" w:rsidTr="005B462E">
        <w:tc>
          <w:tcPr>
            <w:tcW w:w="1730" w:type="dxa"/>
          </w:tcPr>
          <w:p w14:paraId="573E5AE2"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0E316F90" w14:textId="2183228B" w:rsidR="00F65952" w:rsidRPr="001723C9" w:rsidRDefault="00F65952" w:rsidP="00F65952">
            <w:pPr>
              <w:pStyle w:val="ColumnHeading"/>
              <w:rPr>
                <w:rFonts w:asciiTheme="minorHAnsi" w:hAnsiTheme="minorHAnsi" w:cstheme="minorHAnsi"/>
                <w:b w:val="0"/>
                <w:bCs/>
                <w:sz w:val="22"/>
                <w:szCs w:val="22"/>
                <w:lang w:val="en-GB"/>
              </w:rPr>
            </w:pPr>
            <w:r w:rsidRPr="006920B6">
              <w:rPr>
                <w:rFonts w:asciiTheme="minorHAnsi" w:hAnsiTheme="minorHAnsi" w:cstheme="minorHAnsi"/>
                <w:b w:val="0"/>
                <w:bCs/>
                <w:sz w:val="22"/>
                <w:szCs w:val="22"/>
              </w:rPr>
              <w:t>Non-Confidential</w:t>
            </w:r>
          </w:p>
        </w:tc>
        <w:tc>
          <w:tcPr>
            <w:tcW w:w="7040" w:type="dxa"/>
          </w:tcPr>
          <w:p w14:paraId="1991AA87" w14:textId="462ECA36"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There is no capacity charge for CDCM generation but if this was to be applied to EDCM then yes.</w:t>
            </w:r>
          </w:p>
        </w:tc>
        <w:tc>
          <w:tcPr>
            <w:tcW w:w="3747" w:type="dxa"/>
            <w:shd w:val="clear" w:color="auto" w:fill="E2EFD9" w:themeFill="accent6" w:themeFillTint="33"/>
          </w:tcPr>
          <w:p w14:paraId="0447ADE6"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33820FD4" w14:textId="77777777" w:rsidTr="005B462E">
        <w:tc>
          <w:tcPr>
            <w:tcW w:w="1730" w:type="dxa"/>
          </w:tcPr>
          <w:p w14:paraId="580ADC20" w14:textId="215CB550"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33AB9F1A" w14:textId="3ED0F89A" w:rsidR="00F65952" w:rsidRPr="001723C9" w:rsidRDefault="00F65952" w:rsidP="00F65952">
            <w:pPr>
              <w:pStyle w:val="ColumnHeading"/>
              <w:rPr>
                <w:rFonts w:asciiTheme="minorHAnsi" w:hAnsiTheme="minorHAnsi" w:cstheme="minorHAnsi"/>
                <w:b w:val="0"/>
                <w:bCs/>
                <w:sz w:val="22"/>
                <w:szCs w:val="22"/>
              </w:rPr>
            </w:pPr>
            <w:r w:rsidRPr="006920B6">
              <w:rPr>
                <w:rFonts w:asciiTheme="minorHAnsi" w:hAnsiTheme="minorHAnsi" w:cstheme="minorHAnsi"/>
                <w:b w:val="0"/>
                <w:bCs/>
                <w:sz w:val="22"/>
                <w:szCs w:val="22"/>
              </w:rPr>
              <w:t>Non-Confidential</w:t>
            </w:r>
          </w:p>
        </w:tc>
        <w:tc>
          <w:tcPr>
            <w:tcW w:w="7040" w:type="dxa"/>
          </w:tcPr>
          <w:p w14:paraId="5A037C5D" w14:textId="54D2AB3F" w:rsidR="00F65952" w:rsidRPr="00023295" w:rsidRDefault="00023295" w:rsidP="00023295">
            <w:pPr>
              <w:rPr>
                <w:rFonts w:asciiTheme="minorHAnsi" w:hAnsiTheme="minorHAnsi" w:cstheme="minorHAnsi"/>
              </w:rPr>
            </w:pPr>
            <w:r w:rsidRPr="00023295">
              <w:rPr>
                <w:rFonts w:asciiTheme="minorHAnsi" w:hAnsiTheme="minorHAnsi" w:cstheme="minorHAnsi"/>
                <w:sz w:val="22"/>
                <w:szCs w:val="22"/>
              </w:rPr>
              <w:t xml:space="preserve">The change should only address import capacity charging as there are no existing export capacity charges for CDCM customers. The EDCM has export capacity charging, however it is fundamentally different and should not be included with this change. </w:t>
            </w:r>
          </w:p>
        </w:tc>
        <w:tc>
          <w:tcPr>
            <w:tcW w:w="3747" w:type="dxa"/>
            <w:shd w:val="clear" w:color="auto" w:fill="E2EFD9" w:themeFill="accent6" w:themeFillTint="33"/>
          </w:tcPr>
          <w:p w14:paraId="52C6E668"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D180777" w14:textId="77777777" w:rsidTr="005B462E">
        <w:tc>
          <w:tcPr>
            <w:tcW w:w="1730" w:type="dxa"/>
          </w:tcPr>
          <w:p w14:paraId="1FA60F02"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09A9525" w14:textId="71DDF812" w:rsidR="00F65952" w:rsidRPr="001723C9" w:rsidRDefault="00F65952" w:rsidP="00F65952">
            <w:pPr>
              <w:pStyle w:val="ColumnHeading"/>
              <w:rPr>
                <w:rFonts w:asciiTheme="minorHAnsi" w:hAnsiTheme="minorHAnsi" w:cstheme="minorHAnsi"/>
                <w:b w:val="0"/>
                <w:bCs/>
                <w:sz w:val="22"/>
                <w:szCs w:val="22"/>
              </w:rPr>
            </w:pPr>
            <w:r w:rsidRPr="006920B6">
              <w:rPr>
                <w:rFonts w:asciiTheme="minorHAnsi" w:hAnsiTheme="minorHAnsi" w:cstheme="minorHAnsi"/>
                <w:b w:val="0"/>
                <w:bCs/>
                <w:sz w:val="22"/>
                <w:szCs w:val="22"/>
              </w:rPr>
              <w:t>Non-Confidential</w:t>
            </w:r>
          </w:p>
        </w:tc>
        <w:tc>
          <w:tcPr>
            <w:tcW w:w="7040" w:type="dxa"/>
          </w:tcPr>
          <w:p w14:paraId="055888FB" w14:textId="1A587AB7" w:rsidR="00F65952" w:rsidRPr="0093655A" w:rsidRDefault="00023295" w:rsidP="00F65952">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No. Import CDCM customer do not currently incur capacity charges and we see no reason to apply a change.</w:t>
            </w:r>
          </w:p>
        </w:tc>
        <w:tc>
          <w:tcPr>
            <w:tcW w:w="3747" w:type="dxa"/>
            <w:shd w:val="clear" w:color="auto" w:fill="E2EFD9" w:themeFill="accent6" w:themeFillTint="33"/>
          </w:tcPr>
          <w:p w14:paraId="308BC52C"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4987AFB4" w14:textId="77777777" w:rsidTr="005B462E">
        <w:tc>
          <w:tcPr>
            <w:tcW w:w="1730" w:type="dxa"/>
          </w:tcPr>
          <w:p w14:paraId="3B4E65B8" w14:textId="5CF9DF05"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49A11A9C" w14:textId="78EDA21F" w:rsidR="00846BC9" w:rsidRPr="006920B6"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4486B98C" w14:textId="763AB340"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We do not have any views on whether this proposal should include Export capacity.</w:t>
            </w:r>
          </w:p>
        </w:tc>
        <w:tc>
          <w:tcPr>
            <w:tcW w:w="3747" w:type="dxa"/>
            <w:shd w:val="clear" w:color="auto" w:fill="E2EFD9" w:themeFill="accent6" w:themeFillTint="33"/>
          </w:tcPr>
          <w:p w14:paraId="7F8918C1"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544E84D" w14:textId="77777777" w:rsidTr="005B462E">
        <w:tc>
          <w:tcPr>
            <w:tcW w:w="1730" w:type="dxa"/>
          </w:tcPr>
          <w:p w14:paraId="0AC8C1DB" w14:textId="4F718143"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52C1B1B2" w14:textId="5078C6DF" w:rsidR="00846BC9" w:rsidRPr="006920B6"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22CEDB6E"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As we understand it, the CDCM (Schedule 16) only applies in the context of demand users and import exceeded capacity charges, and this is reflected in the proposed Schedule 16 draft legal text. </w:t>
            </w:r>
          </w:p>
          <w:p w14:paraId="3F56CBFC" w14:textId="77777777" w:rsidR="00AC1944" w:rsidRDefault="00AC1944" w:rsidP="00846BC9">
            <w:pPr>
              <w:pStyle w:val="ColumnHeading"/>
              <w:rPr>
                <w:rFonts w:asciiTheme="minorHAnsi" w:hAnsiTheme="minorHAnsi" w:cstheme="minorHAnsi"/>
                <w:b w:val="0"/>
                <w:bCs/>
                <w:sz w:val="22"/>
                <w:szCs w:val="22"/>
                <w:lang w:val="en-GB"/>
              </w:rPr>
            </w:pPr>
          </w:p>
          <w:p w14:paraId="40DA35C7"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For the avoidance of doubt, we consider the introduction of export capacity charges and export exceeded capacity charges at LV/HV out of scope of this change proposal. </w:t>
            </w:r>
          </w:p>
          <w:p w14:paraId="60946BBE" w14:textId="77777777" w:rsidR="00AC1944" w:rsidRDefault="00AC1944" w:rsidP="00846BC9">
            <w:pPr>
              <w:pStyle w:val="ColumnHeading"/>
              <w:rPr>
                <w:rFonts w:asciiTheme="minorHAnsi" w:hAnsiTheme="minorHAnsi" w:cstheme="minorHAnsi"/>
                <w:b w:val="0"/>
                <w:bCs/>
                <w:sz w:val="22"/>
                <w:szCs w:val="22"/>
                <w:lang w:val="en-GB"/>
              </w:rPr>
            </w:pPr>
          </w:p>
          <w:p w14:paraId="6BCAC9E9" w14:textId="0E4DFA9F" w:rsidR="00846BC9" w:rsidRPr="00DB770B" w:rsidRDefault="00AC1944" w:rsidP="00846BC9">
            <w:pPr>
              <w:pStyle w:val="ColumnHeading"/>
              <w:rPr>
                <w:rFonts w:asciiTheme="minorHAnsi" w:hAnsiTheme="minorHAnsi" w:cstheme="minorHAnsi"/>
                <w:b w:val="0"/>
                <w:bCs/>
                <w:sz w:val="22"/>
                <w:szCs w:val="22"/>
              </w:rPr>
            </w:pPr>
            <w:proofErr w:type="gramStart"/>
            <w:r w:rsidRPr="00AC1944">
              <w:rPr>
                <w:rFonts w:asciiTheme="minorHAnsi" w:hAnsiTheme="minorHAnsi" w:cstheme="minorHAnsi"/>
                <w:b w:val="0"/>
                <w:bCs/>
                <w:sz w:val="22"/>
                <w:szCs w:val="22"/>
                <w:lang w:val="en-GB"/>
              </w:rPr>
              <w:t>With regard to</w:t>
            </w:r>
            <w:proofErr w:type="gramEnd"/>
            <w:r w:rsidRPr="00AC1944">
              <w:rPr>
                <w:rFonts w:asciiTheme="minorHAnsi" w:hAnsiTheme="minorHAnsi" w:cstheme="minorHAnsi"/>
                <w:b w:val="0"/>
                <w:bCs/>
                <w:sz w:val="22"/>
                <w:szCs w:val="22"/>
                <w:lang w:val="en-GB"/>
              </w:rPr>
              <w:t xml:space="preserve"> the EDCM (Schedules 17 and 18), we note that export capacity and exceeded capacity do apply at EHV level, albeit they don’t </w:t>
            </w:r>
            <w:r w:rsidRPr="00AC1944">
              <w:rPr>
                <w:rFonts w:asciiTheme="minorHAnsi" w:hAnsiTheme="minorHAnsi" w:cstheme="minorHAnsi"/>
                <w:b w:val="0"/>
                <w:bCs/>
                <w:sz w:val="22"/>
                <w:szCs w:val="22"/>
                <w:lang w:val="en-GB"/>
              </w:rPr>
              <w:lastRenderedPageBreak/>
              <w:t>currently have a differential (which is the issue this proposal is seeking to address).</w:t>
            </w:r>
          </w:p>
        </w:tc>
        <w:tc>
          <w:tcPr>
            <w:tcW w:w="3747" w:type="dxa"/>
            <w:shd w:val="clear" w:color="auto" w:fill="E2EFD9" w:themeFill="accent6" w:themeFillTint="33"/>
          </w:tcPr>
          <w:p w14:paraId="5DB0DE16"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5D7BA8B" w14:textId="77777777" w:rsidTr="005B462E">
        <w:tc>
          <w:tcPr>
            <w:tcW w:w="1730" w:type="dxa"/>
          </w:tcPr>
          <w:p w14:paraId="1DE3624F"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373F30C4" w14:textId="6B82B95B" w:rsidR="00846BC9" w:rsidRPr="001723C9" w:rsidRDefault="00846BC9" w:rsidP="00846BC9">
            <w:pPr>
              <w:pStyle w:val="ColumnHeading"/>
              <w:rPr>
                <w:rFonts w:asciiTheme="minorHAnsi" w:hAnsiTheme="minorHAnsi" w:cstheme="minorHAnsi"/>
                <w:b w:val="0"/>
                <w:bCs/>
                <w:sz w:val="22"/>
                <w:szCs w:val="22"/>
              </w:rPr>
            </w:pPr>
            <w:r w:rsidRPr="006920B6">
              <w:rPr>
                <w:rFonts w:asciiTheme="minorHAnsi" w:hAnsiTheme="minorHAnsi" w:cstheme="minorHAnsi"/>
                <w:b w:val="0"/>
                <w:bCs/>
                <w:sz w:val="22"/>
                <w:szCs w:val="22"/>
              </w:rPr>
              <w:t>Non-Confidential</w:t>
            </w:r>
          </w:p>
        </w:tc>
        <w:tc>
          <w:tcPr>
            <w:tcW w:w="7040" w:type="dxa"/>
          </w:tcPr>
          <w:p w14:paraId="0E3E8E4C" w14:textId="327DC62F"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Unsure if this is an issue that really impacts export, if it does then they should be included.</w:t>
            </w:r>
          </w:p>
        </w:tc>
        <w:tc>
          <w:tcPr>
            <w:tcW w:w="3747" w:type="dxa"/>
            <w:shd w:val="clear" w:color="auto" w:fill="E2EFD9" w:themeFill="accent6" w:themeFillTint="33"/>
          </w:tcPr>
          <w:p w14:paraId="10E5AAD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6E24AC2" w14:textId="77777777" w:rsidTr="005B462E">
        <w:tc>
          <w:tcPr>
            <w:tcW w:w="1730" w:type="dxa"/>
          </w:tcPr>
          <w:p w14:paraId="501C486D"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681366F2" w14:textId="110DCAC7" w:rsidR="00846BC9" w:rsidRPr="001723C9" w:rsidRDefault="00846BC9" w:rsidP="00846BC9">
            <w:pPr>
              <w:pStyle w:val="ColumnHeading"/>
              <w:rPr>
                <w:rFonts w:asciiTheme="minorHAnsi" w:hAnsiTheme="minorHAnsi" w:cstheme="minorHAnsi"/>
                <w:b w:val="0"/>
                <w:bCs/>
                <w:sz w:val="22"/>
                <w:szCs w:val="22"/>
              </w:rPr>
            </w:pPr>
            <w:r w:rsidRPr="006920B6">
              <w:rPr>
                <w:rFonts w:asciiTheme="minorHAnsi" w:hAnsiTheme="minorHAnsi" w:cstheme="minorHAnsi"/>
                <w:b w:val="0"/>
                <w:bCs/>
                <w:sz w:val="22"/>
                <w:szCs w:val="22"/>
              </w:rPr>
              <w:t>Non-Confidential</w:t>
            </w:r>
          </w:p>
        </w:tc>
        <w:tc>
          <w:tcPr>
            <w:tcW w:w="7040" w:type="dxa"/>
          </w:tcPr>
          <w:p w14:paraId="4B613A97" w14:textId="56F917A5" w:rsidR="00846BC9" w:rsidRPr="005C7D70" w:rsidRDefault="00846BC9" w:rsidP="00846BC9">
            <w:pPr>
              <w:rPr>
                <w:rFonts w:asciiTheme="minorHAnsi" w:hAnsiTheme="minorHAnsi" w:cstheme="minorHAnsi"/>
                <w:bCs/>
              </w:rPr>
            </w:pPr>
            <w:r w:rsidRPr="005C7D70">
              <w:rPr>
                <w:rFonts w:asciiTheme="minorHAnsi" w:hAnsiTheme="minorHAnsi" w:cstheme="minorHAnsi"/>
                <w:bCs/>
                <w:sz w:val="22"/>
                <w:szCs w:val="22"/>
              </w:rPr>
              <w:t>We believe that this change should only consider the MIC rather than the MEC.</w:t>
            </w:r>
          </w:p>
        </w:tc>
        <w:tc>
          <w:tcPr>
            <w:tcW w:w="3747" w:type="dxa"/>
            <w:shd w:val="clear" w:color="auto" w:fill="E2EFD9" w:themeFill="accent6" w:themeFillTint="33"/>
          </w:tcPr>
          <w:p w14:paraId="6C11832D"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E023BEB" w14:textId="77777777" w:rsidTr="005B462E">
        <w:tc>
          <w:tcPr>
            <w:tcW w:w="14076" w:type="dxa"/>
            <w:gridSpan w:val="4"/>
            <w:shd w:val="clear" w:color="auto" w:fill="E2EFD9" w:themeFill="accent6" w:themeFillTint="33"/>
          </w:tcPr>
          <w:p w14:paraId="59677389" w14:textId="77777777" w:rsidR="006158DE" w:rsidRPr="006158DE" w:rsidRDefault="00846BC9" w:rsidP="006158DE">
            <w:pPr>
              <w:pStyle w:val="BodyText"/>
              <w:numPr>
                <w:ilvl w:val="1"/>
                <w:numId w:val="9"/>
              </w:numPr>
              <w:rPr>
                <w:rFonts w:asciiTheme="minorHAnsi" w:hAnsiTheme="minorHAnsi" w:cstheme="minorHAnsi"/>
                <w:bCs/>
                <w:sz w:val="22"/>
                <w:szCs w:val="22"/>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rPr>
              <w:t>One responder stated that they didn’t see a reason why import and export should be treated differently.</w:t>
            </w:r>
          </w:p>
          <w:p w14:paraId="3BC2083D" w14:textId="77777777" w:rsidR="006158DE" w:rsidRDefault="006158DE" w:rsidP="006158DE">
            <w:pPr>
              <w:pStyle w:val="BodyText"/>
              <w:rPr>
                <w:rFonts w:cstheme="minorHAnsi"/>
                <w:bCs/>
              </w:rPr>
            </w:pPr>
            <w:r w:rsidRPr="006158DE">
              <w:rPr>
                <w:rFonts w:cstheme="minorHAnsi"/>
                <w:bCs/>
              </w:rPr>
              <w:t>Another responder stated that they were unsure if this was an issue that impacted export sites but if it did, then they should be included.</w:t>
            </w:r>
          </w:p>
          <w:p w14:paraId="637C11FA" w14:textId="77777777" w:rsidR="006158DE" w:rsidRDefault="006158DE" w:rsidP="006158DE">
            <w:pPr>
              <w:pStyle w:val="BodyText"/>
              <w:rPr>
                <w:rFonts w:cstheme="minorHAnsi"/>
                <w:bCs/>
              </w:rPr>
            </w:pPr>
            <w:r w:rsidRPr="006158DE">
              <w:rPr>
                <w:rFonts w:cstheme="minorHAnsi"/>
                <w:bCs/>
              </w:rPr>
              <w:t xml:space="preserve"> On responder offered no view.</w:t>
            </w:r>
          </w:p>
          <w:p w14:paraId="70DD5D08" w14:textId="4D4176EC" w:rsidR="006158DE" w:rsidRPr="006158DE" w:rsidRDefault="006158DE" w:rsidP="006158DE">
            <w:pPr>
              <w:pStyle w:val="BodyText"/>
              <w:rPr>
                <w:rFonts w:cstheme="minorHAnsi"/>
                <w:bCs/>
              </w:rPr>
            </w:pPr>
            <w:r w:rsidRPr="006158DE">
              <w:rPr>
                <w:rFonts w:cstheme="minorHAnsi"/>
                <w:bCs/>
              </w:rPr>
              <w:t>The other six responders stated that this change should only impact import capacity charging with one highlighting that they believed that export capacity charges was out of scope for this change.</w:t>
            </w:r>
          </w:p>
          <w:p w14:paraId="625AE697" w14:textId="7746F4D6" w:rsidR="00846BC9" w:rsidRPr="001723C9" w:rsidRDefault="00846BC9" w:rsidP="00846BC9">
            <w:pPr>
              <w:pStyle w:val="BodyText"/>
              <w:rPr>
                <w:rFonts w:asciiTheme="minorHAnsi" w:hAnsiTheme="minorHAnsi" w:cstheme="minorHAnsi"/>
                <w:bCs/>
                <w:sz w:val="22"/>
                <w:szCs w:val="22"/>
                <w:lang w:val="en-GB"/>
              </w:rPr>
            </w:pPr>
          </w:p>
          <w:p w14:paraId="544D2145" w14:textId="77777777" w:rsidR="00846BC9" w:rsidRPr="001723C9" w:rsidRDefault="00846BC9" w:rsidP="00846BC9">
            <w:pPr>
              <w:pStyle w:val="BodyText"/>
              <w:rPr>
                <w:rFonts w:asciiTheme="minorHAnsi" w:hAnsiTheme="minorHAnsi" w:cstheme="minorHAnsi"/>
                <w:bCs/>
                <w:sz w:val="22"/>
                <w:szCs w:val="22"/>
                <w:lang w:val="en-GB"/>
              </w:rPr>
            </w:pPr>
          </w:p>
        </w:tc>
      </w:tr>
    </w:tbl>
    <w:p w14:paraId="4CF1A26C"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1F341264"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BB258E7"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3FB702E7"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Should this change include EDCM excess capacity charging? Please provide your rationale.</w:t>
            </w:r>
          </w:p>
        </w:tc>
        <w:tc>
          <w:tcPr>
            <w:tcW w:w="3747" w:type="dxa"/>
            <w:shd w:val="clear" w:color="auto" w:fill="E2EFD9" w:themeFill="accent6" w:themeFillTint="33"/>
          </w:tcPr>
          <w:p w14:paraId="2448AE3E"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F65952" w:rsidRPr="001723C9" w14:paraId="531D7527" w14:textId="77777777" w:rsidTr="005B462E">
        <w:tc>
          <w:tcPr>
            <w:tcW w:w="1730" w:type="dxa"/>
          </w:tcPr>
          <w:p w14:paraId="31948403" w14:textId="77777777" w:rsidR="00F65952" w:rsidRPr="00B836AA"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299936E4" w14:textId="274BA23C" w:rsidR="00F65952" w:rsidRPr="001723C9"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75DB8D76" w14:textId="2883F085" w:rsidR="00F65952" w:rsidRPr="00B836AA" w:rsidRDefault="00F65952" w:rsidP="00F65952">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Yes – we can identify no rationale for not including it.</w:t>
            </w:r>
          </w:p>
        </w:tc>
        <w:tc>
          <w:tcPr>
            <w:tcW w:w="3747" w:type="dxa"/>
            <w:shd w:val="clear" w:color="auto" w:fill="E2EFD9" w:themeFill="accent6" w:themeFillTint="33"/>
          </w:tcPr>
          <w:p w14:paraId="02CED065"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473D925A" w14:textId="77777777" w:rsidTr="005B462E">
        <w:tc>
          <w:tcPr>
            <w:tcW w:w="1730" w:type="dxa"/>
          </w:tcPr>
          <w:p w14:paraId="2C24376E"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Centrica</w:t>
            </w:r>
          </w:p>
        </w:tc>
        <w:tc>
          <w:tcPr>
            <w:tcW w:w="1559" w:type="dxa"/>
          </w:tcPr>
          <w:p w14:paraId="046F54C6" w14:textId="7E71892E" w:rsidR="00F65952" w:rsidRPr="001723C9" w:rsidRDefault="00F65952" w:rsidP="00F65952">
            <w:pPr>
              <w:pStyle w:val="ColumnHeading"/>
              <w:rPr>
                <w:rFonts w:asciiTheme="minorHAnsi" w:hAnsiTheme="minorHAnsi" w:cstheme="minorHAnsi"/>
                <w:b w:val="0"/>
                <w:bCs/>
                <w:sz w:val="22"/>
                <w:szCs w:val="22"/>
              </w:rPr>
            </w:pPr>
            <w:r w:rsidRPr="00B87141">
              <w:rPr>
                <w:rFonts w:asciiTheme="minorHAnsi" w:hAnsiTheme="minorHAnsi" w:cstheme="minorHAnsi"/>
                <w:b w:val="0"/>
                <w:bCs/>
                <w:sz w:val="22"/>
                <w:szCs w:val="22"/>
              </w:rPr>
              <w:t>Non-Confidential</w:t>
            </w:r>
          </w:p>
        </w:tc>
        <w:tc>
          <w:tcPr>
            <w:tcW w:w="7040" w:type="dxa"/>
          </w:tcPr>
          <w:p w14:paraId="3E13F34A" w14:textId="422341C7"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approach should be the same to support intent of the CP and be cost reflective</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1E69430A"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19BA20A3" w14:textId="77777777" w:rsidTr="005B462E">
        <w:tc>
          <w:tcPr>
            <w:tcW w:w="1730" w:type="dxa"/>
          </w:tcPr>
          <w:p w14:paraId="2024579F"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D4228D5" w14:textId="64A8A737" w:rsidR="00F65952" w:rsidRPr="001723C9" w:rsidRDefault="00F65952" w:rsidP="00F65952">
            <w:pPr>
              <w:pStyle w:val="ColumnHeading"/>
              <w:rPr>
                <w:rFonts w:asciiTheme="minorHAnsi" w:hAnsiTheme="minorHAnsi" w:cstheme="minorHAnsi"/>
                <w:b w:val="0"/>
                <w:bCs/>
                <w:sz w:val="22"/>
                <w:szCs w:val="22"/>
                <w:lang w:val="en-GB"/>
              </w:rPr>
            </w:pPr>
            <w:r w:rsidRPr="00B87141">
              <w:rPr>
                <w:rFonts w:asciiTheme="minorHAnsi" w:hAnsiTheme="minorHAnsi" w:cstheme="minorHAnsi"/>
                <w:b w:val="0"/>
                <w:bCs/>
                <w:sz w:val="22"/>
                <w:szCs w:val="22"/>
              </w:rPr>
              <w:t>Non-Confidential</w:t>
            </w:r>
          </w:p>
        </w:tc>
        <w:tc>
          <w:tcPr>
            <w:tcW w:w="7040" w:type="dxa"/>
          </w:tcPr>
          <w:p w14:paraId="5E254473" w14:textId="5FA448F5"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56BFDE25"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5BACA2DE" w14:textId="77777777" w:rsidTr="005B462E">
        <w:tc>
          <w:tcPr>
            <w:tcW w:w="1730" w:type="dxa"/>
          </w:tcPr>
          <w:p w14:paraId="1482D5F9" w14:textId="4F89FFEE"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7A57733E" w14:textId="3523CC69" w:rsidR="00F65952" w:rsidRPr="001723C9" w:rsidRDefault="00F65952" w:rsidP="00F65952">
            <w:pPr>
              <w:pStyle w:val="ColumnHeading"/>
              <w:rPr>
                <w:rFonts w:asciiTheme="minorHAnsi" w:hAnsiTheme="minorHAnsi" w:cstheme="minorHAnsi"/>
                <w:b w:val="0"/>
                <w:bCs/>
                <w:sz w:val="22"/>
                <w:szCs w:val="22"/>
              </w:rPr>
            </w:pPr>
            <w:r w:rsidRPr="00B87141">
              <w:rPr>
                <w:rFonts w:asciiTheme="minorHAnsi" w:hAnsiTheme="minorHAnsi" w:cstheme="minorHAnsi"/>
                <w:b w:val="0"/>
                <w:bCs/>
                <w:sz w:val="22"/>
                <w:szCs w:val="22"/>
              </w:rPr>
              <w:t>Non-Confidential</w:t>
            </w:r>
          </w:p>
        </w:tc>
        <w:tc>
          <w:tcPr>
            <w:tcW w:w="7040" w:type="dxa"/>
          </w:tcPr>
          <w:p w14:paraId="07ECFDCC" w14:textId="7881E7F5"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No. The calculation of capacity charges in the EDCM is fundamentally different to in the CDCM. The EDCM has never had a differential between the capacity and excess capacity </w:t>
            </w:r>
            <w:proofErr w:type="gramStart"/>
            <w:r w:rsidRPr="00023295">
              <w:rPr>
                <w:rFonts w:asciiTheme="minorHAnsi" w:hAnsiTheme="minorHAnsi" w:cstheme="minorHAnsi"/>
                <w:b w:val="0"/>
                <w:sz w:val="22"/>
                <w:szCs w:val="22"/>
                <w:lang w:val="en-GB"/>
              </w:rPr>
              <w:t>tariffs</w:t>
            </w:r>
            <w:proofErr w:type="gramEnd"/>
            <w:r w:rsidRPr="00023295">
              <w:rPr>
                <w:rFonts w:asciiTheme="minorHAnsi" w:hAnsiTheme="minorHAnsi" w:cstheme="minorHAnsi"/>
                <w:b w:val="0"/>
                <w:sz w:val="22"/>
                <w:szCs w:val="22"/>
                <w:lang w:val="en-GB"/>
              </w:rPr>
              <w:t xml:space="preserve"> and we do not believe this change should consider introducing one.</w:t>
            </w:r>
          </w:p>
        </w:tc>
        <w:tc>
          <w:tcPr>
            <w:tcW w:w="3747" w:type="dxa"/>
            <w:shd w:val="clear" w:color="auto" w:fill="E2EFD9" w:themeFill="accent6" w:themeFillTint="33"/>
          </w:tcPr>
          <w:p w14:paraId="29D140B8"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4CA61A46" w14:textId="77777777" w:rsidTr="005B462E">
        <w:tc>
          <w:tcPr>
            <w:tcW w:w="1730" w:type="dxa"/>
          </w:tcPr>
          <w:p w14:paraId="08F0F831"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1F6E259A" w14:textId="3965B368" w:rsidR="00F65952" w:rsidRPr="001723C9" w:rsidRDefault="00F65952" w:rsidP="00F65952">
            <w:pPr>
              <w:pStyle w:val="ColumnHeading"/>
              <w:rPr>
                <w:rFonts w:asciiTheme="minorHAnsi" w:hAnsiTheme="minorHAnsi" w:cstheme="minorHAnsi"/>
                <w:b w:val="0"/>
                <w:bCs/>
                <w:sz w:val="22"/>
                <w:szCs w:val="22"/>
              </w:rPr>
            </w:pPr>
            <w:r w:rsidRPr="00B87141">
              <w:rPr>
                <w:rFonts w:asciiTheme="minorHAnsi" w:hAnsiTheme="minorHAnsi" w:cstheme="minorHAnsi"/>
                <w:b w:val="0"/>
                <w:bCs/>
                <w:sz w:val="22"/>
                <w:szCs w:val="22"/>
              </w:rPr>
              <w:t>Non-Confidential</w:t>
            </w:r>
          </w:p>
        </w:tc>
        <w:tc>
          <w:tcPr>
            <w:tcW w:w="7040" w:type="dxa"/>
          </w:tcPr>
          <w:p w14:paraId="5FA54874" w14:textId="6DA72583" w:rsidR="00F65952" w:rsidRPr="0093655A" w:rsidRDefault="00023295"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62D97D3B"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09413F0D" w14:textId="77777777" w:rsidTr="005B462E">
        <w:tc>
          <w:tcPr>
            <w:tcW w:w="1730" w:type="dxa"/>
          </w:tcPr>
          <w:p w14:paraId="2A69331E" w14:textId="6FF8045A"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20DADE8A" w14:textId="18CBE643" w:rsidR="00846BC9" w:rsidRPr="00B87141"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7982968" w14:textId="17C8C15F"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We believe it would be beneficial for both CDCM and EDCM to align their excess capacity charging however we do not have any strong views on this.</w:t>
            </w:r>
          </w:p>
        </w:tc>
        <w:tc>
          <w:tcPr>
            <w:tcW w:w="3747" w:type="dxa"/>
            <w:shd w:val="clear" w:color="auto" w:fill="E2EFD9" w:themeFill="accent6" w:themeFillTint="33"/>
          </w:tcPr>
          <w:p w14:paraId="73792304"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51B4CC0" w14:textId="77777777" w:rsidTr="005B462E">
        <w:tc>
          <w:tcPr>
            <w:tcW w:w="1730" w:type="dxa"/>
          </w:tcPr>
          <w:p w14:paraId="04A4717C" w14:textId="614D4BAA"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33A251A1" w14:textId="6D5CA2DB" w:rsidR="00846BC9" w:rsidRPr="00B87141"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75224E13" w14:textId="5B11C56F"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See our reply to q.7.</w:t>
            </w:r>
          </w:p>
        </w:tc>
        <w:tc>
          <w:tcPr>
            <w:tcW w:w="3747" w:type="dxa"/>
            <w:shd w:val="clear" w:color="auto" w:fill="E2EFD9" w:themeFill="accent6" w:themeFillTint="33"/>
          </w:tcPr>
          <w:p w14:paraId="401A1EC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001AFCF" w14:textId="77777777" w:rsidTr="005B462E">
        <w:tc>
          <w:tcPr>
            <w:tcW w:w="1730" w:type="dxa"/>
          </w:tcPr>
          <w:p w14:paraId="1B4AC11B"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1DDEDBD6" w14:textId="0DA07FC4" w:rsidR="00846BC9" w:rsidRPr="001723C9" w:rsidRDefault="00846BC9" w:rsidP="00846BC9">
            <w:pPr>
              <w:pStyle w:val="ColumnHeading"/>
              <w:rPr>
                <w:rFonts w:asciiTheme="minorHAnsi" w:hAnsiTheme="minorHAnsi" w:cstheme="minorHAnsi"/>
                <w:b w:val="0"/>
                <w:bCs/>
                <w:sz w:val="22"/>
                <w:szCs w:val="22"/>
              </w:rPr>
            </w:pPr>
            <w:r w:rsidRPr="00B87141">
              <w:rPr>
                <w:rFonts w:asciiTheme="minorHAnsi" w:hAnsiTheme="minorHAnsi" w:cstheme="minorHAnsi"/>
                <w:b w:val="0"/>
                <w:bCs/>
                <w:sz w:val="22"/>
                <w:szCs w:val="22"/>
              </w:rPr>
              <w:t>Non-Confidential</w:t>
            </w:r>
          </w:p>
        </w:tc>
        <w:tc>
          <w:tcPr>
            <w:tcW w:w="7040" w:type="dxa"/>
          </w:tcPr>
          <w:p w14:paraId="09A46EF9" w14:textId="4E51850F"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EDCM utilises a different method for calculating excess capacity and so could need a different type of fix, if EDCM has a similar issue with customer behaviour regarding excess it may make more sense as a separate CP</w:t>
            </w:r>
          </w:p>
        </w:tc>
        <w:tc>
          <w:tcPr>
            <w:tcW w:w="3747" w:type="dxa"/>
            <w:shd w:val="clear" w:color="auto" w:fill="E2EFD9" w:themeFill="accent6" w:themeFillTint="33"/>
          </w:tcPr>
          <w:p w14:paraId="0441EBDA"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E90D3C1" w14:textId="77777777" w:rsidTr="005B462E">
        <w:tc>
          <w:tcPr>
            <w:tcW w:w="1730" w:type="dxa"/>
          </w:tcPr>
          <w:p w14:paraId="0BC27916"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3EABEF39" w14:textId="615233A7" w:rsidR="00846BC9" w:rsidRPr="001723C9" w:rsidRDefault="00846BC9" w:rsidP="00846BC9">
            <w:pPr>
              <w:pStyle w:val="ColumnHeading"/>
              <w:rPr>
                <w:rFonts w:asciiTheme="minorHAnsi" w:hAnsiTheme="minorHAnsi" w:cstheme="minorHAnsi"/>
                <w:b w:val="0"/>
                <w:bCs/>
                <w:sz w:val="22"/>
                <w:szCs w:val="22"/>
              </w:rPr>
            </w:pPr>
            <w:r w:rsidRPr="00B87141">
              <w:rPr>
                <w:rFonts w:asciiTheme="minorHAnsi" w:hAnsiTheme="minorHAnsi" w:cstheme="minorHAnsi"/>
                <w:b w:val="0"/>
                <w:bCs/>
                <w:sz w:val="22"/>
                <w:szCs w:val="22"/>
              </w:rPr>
              <w:t>Non-Confidential</w:t>
            </w:r>
          </w:p>
        </w:tc>
        <w:tc>
          <w:tcPr>
            <w:tcW w:w="7040" w:type="dxa"/>
          </w:tcPr>
          <w:p w14:paraId="65053A51" w14:textId="35A7CD19" w:rsidR="00846BC9" w:rsidRPr="00DE2A65" w:rsidRDefault="00846BC9" w:rsidP="00846BC9">
            <w:pPr>
              <w:pStyle w:val="ColumnHeading"/>
              <w:rPr>
                <w:rFonts w:asciiTheme="minorHAnsi" w:hAnsiTheme="minorHAnsi" w:cstheme="minorHAnsi"/>
                <w:b w:val="0"/>
                <w:bCs/>
                <w:sz w:val="22"/>
                <w:szCs w:val="22"/>
                <w:lang w:val="en-GB"/>
              </w:rPr>
            </w:pPr>
            <w:proofErr w:type="gramStart"/>
            <w:r w:rsidRPr="005C7D70">
              <w:rPr>
                <w:rFonts w:asciiTheme="minorHAnsi" w:hAnsiTheme="minorHAnsi" w:cstheme="minorHAnsi"/>
                <w:b w:val="0"/>
                <w:bCs/>
                <w:sz w:val="22"/>
                <w:szCs w:val="22"/>
                <w:lang w:val="en-GB"/>
              </w:rPr>
              <w:t>Yes</w:t>
            </w:r>
            <w:proofErr w:type="gramEnd"/>
            <w:r w:rsidRPr="005C7D70">
              <w:rPr>
                <w:rFonts w:asciiTheme="minorHAnsi" w:hAnsiTheme="minorHAnsi" w:cstheme="minorHAnsi"/>
                <w:b w:val="0"/>
                <w:bCs/>
                <w:sz w:val="22"/>
                <w:szCs w:val="22"/>
                <w:lang w:val="en-GB"/>
              </w:rPr>
              <w:t xml:space="preserve"> we believe that the same approach should be applied to all Import Customers, as doing so only to those covered by the CDCM would not be fair or appropriate.</w:t>
            </w:r>
          </w:p>
        </w:tc>
        <w:tc>
          <w:tcPr>
            <w:tcW w:w="3747" w:type="dxa"/>
            <w:shd w:val="clear" w:color="auto" w:fill="E2EFD9" w:themeFill="accent6" w:themeFillTint="33"/>
          </w:tcPr>
          <w:p w14:paraId="149B22C0"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BEADD26" w14:textId="77777777" w:rsidTr="005B462E">
        <w:tc>
          <w:tcPr>
            <w:tcW w:w="14076" w:type="dxa"/>
            <w:gridSpan w:val="4"/>
            <w:shd w:val="clear" w:color="auto" w:fill="E2EFD9" w:themeFill="accent6" w:themeFillTint="33"/>
          </w:tcPr>
          <w:p w14:paraId="5AB56039" w14:textId="771FF69F"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Working Group Conclusions: </w:t>
            </w:r>
            <w:r w:rsidR="006158DE" w:rsidRPr="006158DE">
              <w:rPr>
                <w:rFonts w:asciiTheme="minorHAnsi" w:hAnsiTheme="minorHAnsi" w:cstheme="minorHAnsi"/>
                <w:bCs/>
                <w:sz w:val="22"/>
                <w:szCs w:val="22"/>
                <w:lang w:val="en-GB"/>
              </w:rPr>
              <w:t>Five responders said yes, this change should include EDCM capacity charging.</w:t>
            </w:r>
          </w:p>
          <w:p w14:paraId="7B395D0B" w14:textId="63304414"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Three responders said that this change should not include EDCM capacity charging and drew attention to the fact that </w:t>
            </w:r>
            <w:proofErr w:type="gramStart"/>
            <w:r w:rsidRPr="006158DE">
              <w:rPr>
                <w:rFonts w:asciiTheme="minorHAnsi" w:hAnsiTheme="minorHAnsi" w:cstheme="minorHAnsi"/>
                <w:bCs/>
                <w:sz w:val="22"/>
                <w:szCs w:val="22"/>
                <w:lang w:val="en-GB"/>
              </w:rPr>
              <w:t>the  EDCM</w:t>
            </w:r>
            <w:proofErr w:type="gramEnd"/>
            <w:r w:rsidRPr="006158DE">
              <w:rPr>
                <w:rFonts w:asciiTheme="minorHAnsi" w:hAnsiTheme="minorHAnsi" w:cstheme="minorHAnsi"/>
                <w:bCs/>
                <w:sz w:val="22"/>
                <w:szCs w:val="22"/>
                <w:lang w:val="en-GB"/>
              </w:rPr>
              <w:t xml:space="preserve"> uses a different method for calculating excess capacity so would require a different fix. One of these three responders suggested it may require a different CP.</w:t>
            </w:r>
          </w:p>
          <w:p w14:paraId="7FAF1CA5" w14:textId="61B0D12D"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offered no view.</w:t>
            </w:r>
          </w:p>
        </w:tc>
      </w:tr>
    </w:tbl>
    <w:p w14:paraId="6F31D82D"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549946EB"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199ABD69"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What system changes would be required for the proposed solutions, or for any alternative solutions you have suggested? Please provide details.</w:t>
            </w:r>
          </w:p>
        </w:tc>
        <w:tc>
          <w:tcPr>
            <w:tcW w:w="3747" w:type="dxa"/>
            <w:shd w:val="clear" w:color="auto" w:fill="E2EFD9" w:themeFill="accent6" w:themeFillTint="33"/>
          </w:tcPr>
          <w:p w14:paraId="70E2A093"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06864226" w14:textId="77777777" w:rsidTr="005B462E">
        <w:tc>
          <w:tcPr>
            <w:tcW w:w="1730" w:type="dxa"/>
          </w:tcPr>
          <w:p w14:paraId="7A1FCC43"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30EC1E60" w14:textId="417BA2DE"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6D562269" w14:textId="1F6BE4A1"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The calculation of the MIC for invoicing purposes would require a system change. This would hopefully be a change to the software that would be relatively easy to implement.</w:t>
            </w:r>
          </w:p>
        </w:tc>
        <w:tc>
          <w:tcPr>
            <w:tcW w:w="3747" w:type="dxa"/>
            <w:shd w:val="clear" w:color="auto" w:fill="E2EFD9" w:themeFill="accent6" w:themeFillTint="33"/>
          </w:tcPr>
          <w:p w14:paraId="1C7318AC"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75C55189" w14:textId="77777777" w:rsidTr="005B462E">
        <w:tc>
          <w:tcPr>
            <w:tcW w:w="1730" w:type="dxa"/>
          </w:tcPr>
          <w:p w14:paraId="67A4601A"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807BD68" w14:textId="0C2A432F" w:rsidR="00F65952" w:rsidRPr="001723C9" w:rsidRDefault="00F65952" w:rsidP="00F65952">
            <w:pPr>
              <w:pStyle w:val="ColumnHeading"/>
              <w:rPr>
                <w:rFonts w:asciiTheme="minorHAnsi" w:hAnsiTheme="minorHAnsi" w:cstheme="minorHAnsi"/>
                <w:b w:val="0"/>
                <w:bCs/>
                <w:sz w:val="22"/>
                <w:szCs w:val="22"/>
              </w:rPr>
            </w:pPr>
            <w:r w:rsidRPr="00D35D5D">
              <w:rPr>
                <w:rFonts w:asciiTheme="minorHAnsi" w:hAnsiTheme="minorHAnsi" w:cstheme="minorHAnsi"/>
                <w:b w:val="0"/>
                <w:bCs/>
                <w:sz w:val="22"/>
                <w:szCs w:val="22"/>
              </w:rPr>
              <w:t>Non-Confidential</w:t>
            </w:r>
          </w:p>
        </w:tc>
        <w:tc>
          <w:tcPr>
            <w:tcW w:w="7040" w:type="dxa"/>
          </w:tcPr>
          <w:p w14:paraId="4BFA1134" w14:textId="453836C6" w:rsidR="00F65952" w:rsidRPr="001E2633"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5372CA3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5C9CB45" w14:textId="77777777" w:rsidTr="005B462E">
        <w:tc>
          <w:tcPr>
            <w:tcW w:w="1730" w:type="dxa"/>
          </w:tcPr>
          <w:p w14:paraId="2DD5EAA2"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0297180E" w14:textId="4C601074" w:rsidR="00F65952" w:rsidRPr="001723C9" w:rsidRDefault="00F65952" w:rsidP="00F65952">
            <w:pPr>
              <w:pStyle w:val="ColumnHeading"/>
              <w:rPr>
                <w:rFonts w:asciiTheme="minorHAnsi" w:hAnsiTheme="minorHAnsi" w:cstheme="minorHAnsi"/>
                <w:b w:val="0"/>
                <w:bCs/>
                <w:sz w:val="22"/>
                <w:szCs w:val="22"/>
                <w:lang w:val="en-GB"/>
              </w:rPr>
            </w:pPr>
            <w:r w:rsidRPr="00D35D5D">
              <w:rPr>
                <w:rFonts w:asciiTheme="minorHAnsi" w:hAnsiTheme="minorHAnsi" w:cstheme="minorHAnsi"/>
                <w:b w:val="0"/>
                <w:bCs/>
                <w:sz w:val="22"/>
                <w:szCs w:val="22"/>
              </w:rPr>
              <w:t>Non-Confidential</w:t>
            </w:r>
          </w:p>
        </w:tc>
        <w:tc>
          <w:tcPr>
            <w:tcW w:w="7040" w:type="dxa"/>
          </w:tcPr>
          <w:p w14:paraId="79828455" w14:textId="7BCDCF6F"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St Clements have said that there is a lot of system changes required for the </w:t>
            </w:r>
            <w:r w:rsidR="006158DE" w:rsidRPr="00B35D24">
              <w:rPr>
                <w:rFonts w:asciiTheme="minorHAnsi" w:hAnsiTheme="minorHAnsi" w:cstheme="minorHAnsi"/>
                <w:b w:val="0"/>
                <w:bCs/>
                <w:sz w:val="22"/>
                <w:szCs w:val="22"/>
                <w:lang w:val="en-GB"/>
              </w:rPr>
              <w:t>12-month</w:t>
            </w:r>
            <w:r w:rsidRPr="00B35D24">
              <w:rPr>
                <w:rFonts w:asciiTheme="minorHAnsi" w:hAnsiTheme="minorHAnsi" w:cstheme="minorHAnsi"/>
                <w:b w:val="0"/>
                <w:bCs/>
                <w:sz w:val="22"/>
                <w:szCs w:val="22"/>
                <w:lang w:val="en-GB"/>
              </w:rPr>
              <w:t xml:space="preserve"> option in a time when they are very resource constrained. The cost they have quoted is 50 to 100k across all the DNOs. They have also that this could cause run time issues to the billing. The simple doubling option requires no additional cost or resource.</w:t>
            </w:r>
          </w:p>
        </w:tc>
        <w:tc>
          <w:tcPr>
            <w:tcW w:w="3747" w:type="dxa"/>
            <w:shd w:val="clear" w:color="auto" w:fill="E2EFD9" w:themeFill="accent6" w:themeFillTint="33"/>
          </w:tcPr>
          <w:p w14:paraId="1F1BBA61"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6200B2CD" w14:textId="77777777" w:rsidTr="005B462E">
        <w:tc>
          <w:tcPr>
            <w:tcW w:w="1730" w:type="dxa"/>
          </w:tcPr>
          <w:p w14:paraId="2987DA1A" w14:textId="4348D987"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5BC6EE96" w14:textId="1C641CB1" w:rsidR="00F65952" w:rsidRPr="001723C9" w:rsidRDefault="00F65952" w:rsidP="00F65952">
            <w:pPr>
              <w:pStyle w:val="ColumnHeading"/>
              <w:rPr>
                <w:rFonts w:asciiTheme="minorHAnsi" w:hAnsiTheme="minorHAnsi" w:cstheme="minorHAnsi"/>
                <w:b w:val="0"/>
                <w:bCs/>
                <w:sz w:val="22"/>
                <w:szCs w:val="22"/>
              </w:rPr>
            </w:pPr>
            <w:r w:rsidRPr="00D35D5D">
              <w:rPr>
                <w:rFonts w:asciiTheme="minorHAnsi" w:hAnsiTheme="minorHAnsi" w:cstheme="minorHAnsi"/>
                <w:b w:val="0"/>
                <w:bCs/>
                <w:sz w:val="22"/>
                <w:szCs w:val="22"/>
              </w:rPr>
              <w:t>Non-Confidential</w:t>
            </w:r>
          </w:p>
        </w:tc>
        <w:tc>
          <w:tcPr>
            <w:tcW w:w="7040" w:type="dxa"/>
          </w:tcPr>
          <w:p w14:paraId="3B964EC0"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Reintroduction of a differential between the capacity charge and excess capacity charge would not require any system changes. </w:t>
            </w:r>
          </w:p>
          <w:p w14:paraId="2464AE0C" w14:textId="77777777" w:rsidR="00023295" w:rsidRPr="00023295" w:rsidRDefault="00023295" w:rsidP="00023295">
            <w:pPr>
              <w:rPr>
                <w:lang w:val="en-GB"/>
              </w:rPr>
            </w:pPr>
          </w:p>
          <w:p w14:paraId="79BBD3D8" w14:textId="1057F7EA"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lastRenderedPageBreak/>
              <w:t>Charging excess capacity based on the MD in the preceding 12 months would require changes to billing systems to alter the calculation of the excess capacity charges. If the CDCM and EDCM were treated differently for this then there would need to be a flag to say which tariffs should be charged based on a single month and which should be charged on the MD in the preceding 12 months.</w:t>
            </w:r>
          </w:p>
        </w:tc>
        <w:tc>
          <w:tcPr>
            <w:tcW w:w="3747" w:type="dxa"/>
            <w:shd w:val="clear" w:color="auto" w:fill="E2EFD9" w:themeFill="accent6" w:themeFillTint="33"/>
          </w:tcPr>
          <w:p w14:paraId="35BB002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16750D86" w14:textId="77777777" w:rsidTr="005B462E">
        <w:tc>
          <w:tcPr>
            <w:tcW w:w="1730" w:type="dxa"/>
          </w:tcPr>
          <w:p w14:paraId="4FD840E2"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363DF2D9" w14:textId="47AD7104" w:rsidR="00F65952" w:rsidRPr="001723C9" w:rsidRDefault="00F65952" w:rsidP="00F65952">
            <w:pPr>
              <w:pStyle w:val="ColumnHeading"/>
              <w:rPr>
                <w:rFonts w:asciiTheme="minorHAnsi" w:hAnsiTheme="minorHAnsi" w:cstheme="minorHAnsi"/>
                <w:b w:val="0"/>
                <w:bCs/>
                <w:sz w:val="22"/>
                <w:szCs w:val="22"/>
              </w:rPr>
            </w:pPr>
            <w:r w:rsidRPr="00D35D5D">
              <w:rPr>
                <w:rFonts w:asciiTheme="minorHAnsi" w:hAnsiTheme="minorHAnsi" w:cstheme="minorHAnsi"/>
                <w:b w:val="0"/>
                <w:bCs/>
                <w:sz w:val="22"/>
                <w:szCs w:val="22"/>
              </w:rPr>
              <w:t>Non-Confidential</w:t>
            </w:r>
          </w:p>
        </w:tc>
        <w:tc>
          <w:tcPr>
            <w:tcW w:w="7040" w:type="dxa"/>
          </w:tcPr>
          <w:p w14:paraId="0F1A1934" w14:textId="77777777" w:rsidR="00023295"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For the proposed solution it would require a change to our industry processes and systems. Our UoS billing application would need to undergo substantial change.</w:t>
            </w:r>
          </w:p>
          <w:p w14:paraId="4BAA9D45" w14:textId="77777777" w:rsidR="00023295" w:rsidRPr="00023295" w:rsidRDefault="00023295" w:rsidP="00023295"/>
          <w:p w14:paraId="019A3305" w14:textId="7745966F" w:rsidR="00F65952" w:rsidRPr="0093655A" w:rsidRDefault="00023295" w:rsidP="00023295">
            <w:pPr>
              <w:pStyle w:val="ColumnHeading"/>
              <w:rPr>
                <w:rFonts w:asciiTheme="minorHAnsi" w:hAnsiTheme="minorHAnsi" w:cstheme="minorHAnsi"/>
                <w:b w:val="0"/>
                <w:sz w:val="22"/>
                <w:szCs w:val="22"/>
              </w:rPr>
            </w:pPr>
            <w:r w:rsidRPr="00023295">
              <w:rPr>
                <w:rFonts w:asciiTheme="minorHAnsi" w:hAnsiTheme="minorHAnsi" w:cstheme="minorHAnsi"/>
                <w:b w:val="0"/>
                <w:sz w:val="22"/>
                <w:szCs w:val="22"/>
              </w:rPr>
              <w:t>No or limited change would be required to introduce the Alternative proposal/solution.</w:t>
            </w:r>
          </w:p>
        </w:tc>
        <w:tc>
          <w:tcPr>
            <w:tcW w:w="3747" w:type="dxa"/>
            <w:shd w:val="clear" w:color="auto" w:fill="E2EFD9" w:themeFill="accent6" w:themeFillTint="33"/>
          </w:tcPr>
          <w:p w14:paraId="13A40589"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326B8F45" w14:textId="77777777" w:rsidTr="005B462E">
        <w:tc>
          <w:tcPr>
            <w:tcW w:w="1730" w:type="dxa"/>
          </w:tcPr>
          <w:p w14:paraId="441A163D" w14:textId="533887A0"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37D3F302" w14:textId="3AB7EE1A" w:rsidR="00846BC9" w:rsidRPr="00D35D5D"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91E6D31" w14:textId="42A19BB2"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We do not believe any systems changes would be required as any charges passed from the DNO, are billed directly to the customer.</w:t>
            </w:r>
          </w:p>
        </w:tc>
        <w:tc>
          <w:tcPr>
            <w:tcW w:w="3747" w:type="dxa"/>
            <w:shd w:val="clear" w:color="auto" w:fill="E2EFD9" w:themeFill="accent6" w:themeFillTint="33"/>
          </w:tcPr>
          <w:p w14:paraId="7F4FC5FE"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A56425C" w14:textId="77777777" w:rsidTr="005B462E">
        <w:tc>
          <w:tcPr>
            <w:tcW w:w="1730" w:type="dxa"/>
          </w:tcPr>
          <w:p w14:paraId="76B10F8C" w14:textId="3D36214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01AE6214" w14:textId="60A785B8" w:rsidR="00846BC9" w:rsidRPr="00D35D5D"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19F54241" w14:textId="2E8BEB57"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We have no comment.</w:t>
            </w:r>
          </w:p>
        </w:tc>
        <w:tc>
          <w:tcPr>
            <w:tcW w:w="3747" w:type="dxa"/>
            <w:shd w:val="clear" w:color="auto" w:fill="E2EFD9" w:themeFill="accent6" w:themeFillTint="33"/>
          </w:tcPr>
          <w:p w14:paraId="70FB78CD"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6C423E1" w14:textId="77777777" w:rsidTr="005B462E">
        <w:tc>
          <w:tcPr>
            <w:tcW w:w="1730" w:type="dxa"/>
          </w:tcPr>
          <w:p w14:paraId="239487DD"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142CF1A2" w14:textId="63D58190" w:rsidR="00846BC9" w:rsidRPr="001723C9" w:rsidRDefault="00846BC9" w:rsidP="00846BC9">
            <w:pPr>
              <w:pStyle w:val="ColumnHeading"/>
              <w:rPr>
                <w:rFonts w:asciiTheme="minorHAnsi" w:hAnsiTheme="minorHAnsi" w:cstheme="minorHAnsi"/>
                <w:b w:val="0"/>
                <w:bCs/>
                <w:sz w:val="22"/>
                <w:szCs w:val="22"/>
              </w:rPr>
            </w:pPr>
            <w:r w:rsidRPr="00D35D5D">
              <w:rPr>
                <w:rFonts w:asciiTheme="minorHAnsi" w:hAnsiTheme="minorHAnsi" w:cstheme="minorHAnsi"/>
                <w:b w:val="0"/>
                <w:bCs/>
                <w:sz w:val="22"/>
                <w:szCs w:val="22"/>
              </w:rPr>
              <w:t>Non-Confidential</w:t>
            </w:r>
          </w:p>
        </w:tc>
        <w:tc>
          <w:tcPr>
            <w:tcW w:w="7040" w:type="dxa"/>
          </w:tcPr>
          <w:p w14:paraId="1B3E827F" w14:textId="63F1C707"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None that aren’t mentioned in the change proposa</w:t>
            </w:r>
            <w:r>
              <w:rPr>
                <w:rFonts w:asciiTheme="minorHAnsi" w:hAnsiTheme="minorHAnsi" w:cstheme="minorHAnsi"/>
                <w:b w:val="0"/>
                <w:bCs/>
                <w:sz w:val="22"/>
                <w:szCs w:val="22"/>
                <w:lang w:val="en-GB"/>
              </w:rPr>
              <w:t>l.</w:t>
            </w:r>
          </w:p>
        </w:tc>
        <w:tc>
          <w:tcPr>
            <w:tcW w:w="3747" w:type="dxa"/>
            <w:shd w:val="clear" w:color="auto" w:fill="E2EFD9" w:themeFill="accent6" w:themeFillTint="33"/>
          </w:tcPr>
          <w:p w14:paraId="48210B8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9B18D71" w14:textId="77777777" w:rsidTr="005B462E">
        <w:tc>
          <w:tcPr>
            <w:tcW w:w="1730" w:type="dxa"/>
          </w:tcPr>
          <w:p w14:paraId="1DA14B34"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4FCEC2E9" w14:textId="10D86CB9" w:rsidR="00846BC9" w:rsidRPr="001723C9" w:rsidRDefault="00846BC9" w:rsidP="00846BC9">
            <w:pPr>
              <w:pStyle w:val="ColumnHeading"/>
              <w:rPr>
                <w:rFonts w:asciiTheme="minorHAnsi" w:hAnsiTheme="minorHAnsi" w:cstheme="minorHAnsi"/>
                <w:b w:val="0"/>
                <w:bCs/>
                <w:sz w:val="22"/>
                <w:szCs w:val="22"/>
              </w:rPr>
            </w:pPr>
            <w:r w:rsidRPr="00D35D5D">
              <w:rPr>
                <w:rFonts w:asciiTheme="minorHAnsi" w:hAnsiTheme="minorHAnsi" w:cstheme="minorHAnsi"/>
                <w:b w:val="0"/>
                <w:bCs/>
                <w:sz w:val="22"/>
                <w:szCs w:val="22"/>
              </w:rPr>
              <w:t>Non-Confidential</w:t>
            </w:r>
          </w:p>
        </w:tc>
        <w:tc>
          <w:tcPr>
            <w:tcW w:w="7040" w:type="dxa"/>
          </w:tcPr>
          <w:p w14:paraId="34BE0854" w14:textId="77777777" w:rsidR="00846BC9" w:rsidRPr="005C7D70"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We would need to make changes to our Billing System for the </w:t>
            </w:r>
            <w:proofErr w:type="gramStart"/>
            <w:r w:rsidRPr="005C7D70">
              <w:rPr>
                <w:rFonts w:asciiTheme="minorHAnsi" w:hAnsiTheme="minorHAnsi" w:cstheme="minorHAnsi"/>
                <w:b w:val="0"/>
                <w:bCs/>
                <w:sz w:val="22"/>
                <w:szCs w:val="22"/>
                <w:lang w:val="en-GB"/>
              </w:rPr>
              <w:t>12 month</w:t>
            </w:r>
            <w:proofErr w:type="gramEnd"/>
            <w:r w:rsidRPr="005C7D70">
              <w:rPr>
                <w:rFonts w:asciiTheme="minorHAnsi" w:hAnsiTheme="minorHAnsi" w:cstheme="minorHAnsi"/>
                <w:b w:val="0"/>
                <w:bCs/>
                <w:sz w:val="22"/>
                <w:szCs w:val="22"/>
                <w:lang w:val="en-GB"/>
              </w:rPr>
              <w:t xml:space="preserve"> solution, although the cost of these would be shared with the other DNOs. </w:t>
            </w:r>
          </w:p>
          <w:p w14:paraId="795244A5" w14:textId="77777777" w:rsidR="00846BC9" w:rsidRPr="005C7D70"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There will be complexities around historic rebilling (the </w:t>
            </w:r>
            <w:proofErr w:type="gramStart"/>
            <w:r w:rsidRPr="005C7D70">
              <w:rPr>
                <w:rFonts w:asciiTheme="minorHAnsi" w:hAnsiTheme="minorHAnsi" w:cstheme="minorHAnsi"/>
                <w:b w:val="0"/>
                <w:bCs/>
                <w:sz w:val="22"/>
                <w:szCs w:val="22"/>
                <w:lang w:val="en-GB"/>
              </w:rPr>
              <w:t>knock on</w:t>
            </w:r>
            <w:proofErr w:type="gramEnd"/>
            <w:r w:rsidRPr="005C7D70">
              <w:rPr>
                <w:rFonts w:asciiTheme="minorHAnsi" w:hAnsiTheme="minorHAnsi" w:cstheme="minorHAnsi"/>
                <w:b w:val="0"/>
                <w:bCs/>
                <w:sz w:val="22"/>
                <w:szCs w:val="22"/>
                <w:lang w:val="en-GB"/>
              </w:rPr>
              <w:t xml:space="preserve"> impact of revised meter data causing a reassessment of an MD in the past).</w:t>
            </w:r>
          </w:p>
          <w:p w14:paraId="4A184740" w14:textId="64206EBE"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lastRenderedPageBreak/>
              <w:t>It may also be sensible to amend the REP-900 to add the MD in the prior 11 months and its date/time alongside the MD in the month.</w:t>
            </w:r>
          </w:p>
        </w:tc>
        <w:tc>
          <w:tcPr>
            <w:tcW w:w="3747" w:type="dxa"/>
            <w:shd w:val="clear" w:color="auto" w:fill="E2EFD9" w:themeFill="accent6" w:themeFillTint="33"/>
          </w:tcPr>
          <w:p w14:paraId="20723D9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EB571DB" w14:textId="77777777" w:rsidTr="005B462E">
        <w:tc>
          <w:tcPr>
            <w:tcW w:w="14076" w:type="dxa"/>
            <w:gridSpan w:val="4"/>
            <w:shd w:val="clear" w:color="auto" w:fill="E2EFD9" w:themeFill="accent6" w:themeFillTint="33"/>
          </w:tcPr>
          <w:p w14:paraId="0F953DE3"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Four DNO parties all stated that for the differential approach, no changes would be required however, for the 12-month solution, had substantial system changes associated with it.</w:t>
            </w:r>
          </w:p>
          <w:p w14:paraId="6B73E3EF" w14:textId="70C7FCF7"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Two responders offered no view.</w:t>
            </w:r>
          </w:p>
          <w:p w14:paraId="57FC4A0C" w14:textId="4248F944"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One DNO party noted </w:t>
            </w:r>
            <w:proofErr w:type="spellStart"/>
            <w:r w:rsidRPr="006158DE">
              <w:rPr>
                <w:rFonts w:asciiTheme="minorHAnsi" w:hAnsiTheme="minorHAnsi" w:cstheme="minorHAnsi"/>
                <w:bCs/>
                <w:sz w:val="22"/>
                <w:szCs w:val="22"/>
                <w:lang w:val="en-GB"/>
              </w:rPr>
              <w:t>tht</w:t>
            </w:r>
            <w:proofErr w:type="spellEnd"/>
            <w:r w:rsidRPr="006158DE">
              <w:rPr>
                <w:rFonts w:asciiTheme="minorHAnsi" w:hAnsiTheme="minorHAnsi" w:cstheme="minorHAnsi"/>
                <w:bCs/>
                <w:sz w:val="22"/>
                <w:szCs w:val="22"/>
                <w:lang w:val="en-GB"/>
              </w:rPr>
              <w:t xml:space="preserve"> there are no changes required that aren’t already mentioned in the change proposal.</w:t>
            </w:r>
          </w:p>
          <w:p w14:paraId="04B1A2E0" w14:textId="7E093651"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An IDNO party noted that calculation of the MIC for invoicing purposes would require a system change. They went on to state that this would hopefully be a change to the software and that it would be relatively easy to implement.</w:t>
            </w:r>
          </w:p>
          <w:p w14:paraId="1445A41C" w14:textId="5E5E97FB"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supplier responder noted that there’d be no changes required for either solution as any charges passed from the DNO, are billed directly to the customer.</w:t>
            </w:r>
          </w:p>
        </w:tc>
      </w:tr>
    </w:tbl>
    <w:p w14:paraId="32198429"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835771A"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7626FC28"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45E5CA6F"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Does this change suitably incentivise customers not to exceed their MIC? Please rationale.</w:t>
            </w:r>
          </w:p>
        </w:tc>
        <w:tc>
          <w:tcPr>
            <w:tcW w:w="3747" w:type="dxa"/>
            <w:shd w:val="clear" w:color="auto" w:fill="E2EFD9" w:themeFill="accent6" w:themeFillTint="33"/>
          </w:tcPr>
          <w:p w14:paraId="4F8E4C88"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5643F56F" w14:textId="77777777" w:rsidTr="005B462E">
        <w:tc>
          <w:tcPr>
            <w:tcW w:w="1730" w:type="dxa"/>
          </w:tcPr>
          <w:p w14:paraId="1E75756A"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1B261F74" w14:textId="66253684"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2091649B" w14:textId="46345F2D"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This change should incentivise customers to apply the correct MIC in the first instance.</w:t>
            </w:r>
          </w:p>
        </w:tc>
        <w:tc>
          <w:tcPr>
            <w:tcW w:w="3747" w:type="dxa"/>
            <w:shd w:val="clear" w:color="auto" w:fill="E2EFD9" w:themeFill="accent6" w:themeFillTint="33"/>
          </w:tcPr>
          <w:p w14:paraId="04CD6262"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67014810" w14:textId="77777777" w:rsidTr="005B462E">
        <w:tc>
          <w:tcPr>
            <w:tcW w:w="1730" w:type="dxa"/>
          </w:tcPr>
          <w:p w14:paraId="082B8722"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08EBD4BC" w14:textId="56B05B87" w:rsidR="00F65952" w:rsidRPr="001723C9" w:rsidRDefault="00F65952" w:rsidP="00F65952">
            <w:pPr>
              <w:pStyle w:val="ColumnHeading"/>
              <w:rPr>
                <w:rFonts w:asciiTheme="minorHAnsi" w:hAnsiTheme="minorHAnsi" w:cstheme="minorHAnsi"/>
                <w:b w:val="0"/>
                <w:bCs/>
                <w:sz w:val="22"/>
                <w:szCs w:val="22"/>
              </w:rPr>
            </w:pPr>
            <w:r w:rsidRPr="00FE7B40">
              <w:rPr>
                <w:rFonts w:asciiTheme="minorHAnsi" w:hAnsiTheme="minorHAnsi" w:cstheme="minorHAnsi"/>
                <w:b w:val="0"/>
                <w:bCs/>
                <w:sz w:val="22"/>
                <w:szCs w:val="22"/>
              </w:rPr>
              <w:t>Non-Confidential</w:t>
            </w:r>
          </w:p>
        </w:tc>
        <w:tc>
          <w:tcPr>
            <w:tcW w:w="7040" w:type="dxa"/>
          </w:tcPr>
          <w:p w14:paraId="5A4CD84F" w14:textId="5EA3A518"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believe this change will incentivise customers not to exceed their MIC</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51132863"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92A9D6A" w14:textId="77777777" w:rsidTr="005B462E">
        <w:tc>
          <w:tcPr>
            <w:tcW w:w="1730" w:type="dxa"/>
          </w:tcPr>
          <w:p w14:paraId="37366F72"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3E5E35E4" w14:textId="46B42681" w:rsidR="00F65952" w:rsidRPr="001723C9" w:rsidRDefault="00F65952" w:rsidP="00F65952">
            <w:pPr>
              <w:pStyle w:val="ColumnHeading"/>
              <w:rPr>
                <w:rFonts w:asciiTheme="minorHAnsi" w:hAnsiTheme="minorHAnsi" w:cstheme="minorHAnsi"/>
                <w:b w:val="0"/>
                <w:bCs/>
                <w:sz w:val="22"/>
                <w:szCs w:val="22"/>
                <w:lang w:val="en-GB"/>
              </w:rPr>
            </w:pPr>
            <w:r w:rsidRPr="00FE7B40">
              <w:rPr>
                <w:rFonts w:asciiTheme="minorHAnsi" w:hAnsiTheme="minorHAnsi" w:cstheme="minorHAnsi"/>
                <w:b w:val="0"/>
                <w:bCs/>
                <w:sz w:val="22"/>
                <w:szCs w:val="22"/>
              </w:rPr>
              <w:t>Non-Confidential</w:t>
            </w:r>
          </w:p>
        </w:tc>
        <w:tc>
          <w:tcPr>
            <w:tcW w:w="7040" w:type="dxa"/>
          </w:tcPr>
          <w:p w14:paraId="3F463EA0" w14:textId="24A60413"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Don’t know for infrequent ones as we don’t know why they are going over but the </w:t>
            </w:r>
            <w:proofErr w:type="gramStart"/>
            <w:r w:rsidRPr="00B35D24">
              <w:rPr>
                <w:rFonts w:asciiTheme="minorHAnsi" w:hAnsiTheme="minorHAnsi" w:cstheme="minorHAnsi"/>
                <w:b w:val="0"/>
                <w:bCs/>
                <w:sz w:val="22"/>
                <w:szCs w:val="22"/>
                <w:lang w:val="en-GB"/>
              </w:rPr>
              <w:t>12 month</w:t>
            </w:r>
            <w:proofErr w:type="gramEnd"/>
            <w:r w:rsidRPr="00B35D24">
              <w:rPr>
                <w:rFonts w:asciiTheme="minorHAnsi" w:hAnsiTheme="minorHAnsi" w:cstheme="minorHAnsi"/>
                <w:b w:val="0"/>
                <w:bCs/>
                <w:sz w:val="22"/>
                <w:szCs w:val="22"/>
                <w:lang w:val="en-GB"/>
              </w:rPr>
              <w:t xml:space="preserve"> ones are unlikely as there will be no difference to their existing bills.</w:t>
            </w:r>
          </w:p>
        </w:tc>
        <w:tc>
          <w:tcPr>
            <w:tcW w:w="3747" w:type="dxa"/>
            <w:shd w:val="clear" w:color="auto" w:fill="E2EFD9" w:themeFill="accent6" w:themeFillTint="33"/>
          </w:tcPr>
          <w:p w14:paraId="04DD4EF4"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62F22AA9" w14:textId="77777777" w:rsidTr="005B462E">
        <w:tc>
          <w:tcPr>
            <w:tcW w:w="1730" w:type="dxa"/>
          </w:tcPr>
          <w:p w14:paraId="32E5BCE2" w14:textId="60AF6A80"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328BE79E" w14:textId="08360240" w:rsidR="00F65952" w:rsidRPr="001723C9" w:rsidRDefault="00F65952" w:rsidP="00F65952">
            <w:pPr>
              <w:pStyle w:val="ColumnHeading"/>
              <w:rPr>
                <w:rFonts w:asciiTheme="minorHAnsi" w:hAnsiTheme="minorHAnsi" w:cstheme="minorHAnsi"/>
                <w:b w:val="0"/>
                <w:bCs/>
                <w:sz w:val="22"/>
                <w:szCs w:val="22"/>
              </w:rPr>
            </w:pPr>
            <w:r w:rsidRPr="00FE7B40">
              <w:rPr>
                <w:rFonts w:asciiTheme="minorHAnsi" w:hAnsiTheme="minorHAnsi" w:cstheme="minorHAnsi"/>
                <w:b w:val="0"/>
                <w:bCs/>
                <w:sz w:val="22"/>
                <w:szCs w:val="22"/>
              </w:rPr>
              <w:t>Non-Confidential</w:t>
            </w:r>
          </w:p>
        </w:tc>
        <w:tc>
          <w:tcPr>
            <w:tcW w:w="7040" w:type="dxa"/>
          </w:tcPr>
          <w:p w14:paraId="47BC0B3B" w14:textId="77777777" w:rsidR="00F65952"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To understand </w:t>
            </w:r>
            <w:proofErr w:type="gramStart"/>
            <w:r w:rsidRPr="00023295">
              <w:rPr>
                <w:rFonts w:asciiTheme="minorHAnsi" w:hAnsiTheme="minorHAnsi" w:cstheme="minorHAnsi"/>
                <w:b w:val="0"/>
                <w:sz w:val="22"/>
                <w:szCs w:val="22"/>
                <w:lang w:val="en-GB"/>
              </w:rPr>
              <w:t>this</w:t>
            </w:r>
            <w:proofErr w:type="gramEnd"/>
            <w:r w:rsidRPr="00023295">
              <w:rPr>
                <w:rFonts w:asciiTheme="minorHAnsi" w:hAnsiTheme="minorHAnsi" w:cstheme="minorHAnsi"/>
                <w:b w:val="0"/>
                <w:sz w:val="22"/>
                <w:szCs w:val="22"/>
                <w:lang w:val="en-GB"/>
              </w:rPr>
              <w:t xml:space="preserve"> it would be helpful to understand how much of an impact it had on customers exceeding their MIC when the differential between the capacity and excess capacity charges was introduced. A suggestion for a data request is given in the answer to Q21.</w:t>
            </w:r>
          </w:p>
          <w:p w14:paraId="069A9840" w14:textId="77777777" w:rsidR="00023295" w:rsidRDefault="00023295" w:rsidP="00023295"/>
          <w:p w14:paraId="3C41771C" w14:textId="6CFC89D9" w:rsidR="00023295" w:rsidRPr="00023295" w:rsidRDefault="00023295" w:rsidP="00023295">
            <w:pPr>
              <w:rPr>
                <w:rFonts w:asciiTheme="minorHAnsi" w:hAnsiTheme="minorHAnsi" w:cstheme="minorHAnsi"/>
              </w:rPr>
            </w:pPr>
            <w:r w:rsidRPr="00023295">
              <w:rPr>
                <w:rFonts w:asciiTheme="minorHAnsi" w:hAnsiTheme="minorHAnsi" w:cstheme="minorHAnsi"/>
                <w:sz w:val="22"/>
                <w:szCs w:val="22"/>
              </w:rPr>
              <w:t>DNOs invoice these charges to the Supplier rather than the end user and have no view of the contracts between the Supplier and end customer, and therefore no view of whether a differential incentivises customer behaviour or not.</w:t>
            </w:r>
          </w:p>
        </w:tc>
        <w:tc>
          <w:tcPr>
            <w:tcW w:w="3747" w:type="dxa"/>
            <w:shd w:val="clear" w:color="auto" w:fill="E2EFD9" w:themeFill="accent6" w:themeFillTint="33"/>
          </w:tcPr>
          <w:p w14:paraId="3683376D"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00D2748" w14:textId="77777777" w:rsidTr="005B462E">
        <w:tc>
          <w:tcPr>
            <w:tcW w:w="1730" w:type="dxa"/>
          </w:tcPr>
          <w:p w14:paraId="7F5B7BF8"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73AFCC7B" w14:textId="1B010D7F" w:rsidR="00F65952" w:rsidRPr="001723C9" w:rsidRDefault="00F65952" w:rsidP="00F65952">
            <w:pPr>
              <w:pStyle w:val="ColumnHeading"/>
              <w:rPr>
                <w:rFonts w:asciiTheme="minorHAnsi" w:hAnsiTheme="minorHAnsi" w:cstheme="minorHAnsi"/>
                <w:b w:val="0"/>
                <w:bCs/>
                <w:sz w:val="22"/>
                <w:szCs w:val="22"/>
              </w:rPr>
            </w:pPr>
            <w:r w:rsidRPr="00FE7B40">
              <w:rPr>
                <w:rFonts w:asciiTheme="minorHAnsi" w:hAnsiTheme="minorHAnsi" w:cstheme="minorHAnsi"/>
                <w:b w:val="0"/>
                <w:bCs/>
                <w:sz w:val="22"/>
                <w:szCs w:val="22"/>
              </w:rPr>
              <w:t>Non-Confidential</w:t>
            </w:r>
          </w:p>
        </w:tc>
        <w:tc>
          <w:tcPr>
            <w:tcW w:w="7040" w:type="dxa"/>
          </w:tcPr>
          <w:p w14:paraId="19DC2EE6" w14:textId="77777777" w:rsidR="00DB770B" w:rsidRDefault="00DB770B" w:rsidP="00DB770B">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It’s difficult to know/quantify that without a clear incentive and given the complexity of administrating the Proposed solution, how successful it would be in changing user behaviour.</w:t>
            </w:r>
          </w:p>
          <w:p w14:paraId="7B662670" w14:textId="77777777" w:rsidR="00DB770B" w:rsidRPr="00DB770B" w:rsidRDefault="00DB770B" w:rsidP="00DB770B"/>
          <w:p w14:paraId="3A448066" w14:textId="2EFFED2C" w:rsidR="00F65952" w:rsidRPr="0093655A" w:rsidRDefault="00DB770B" w:rsidP="00DB770B">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The Alternative proposal, however, sends a stronger price/cost signal not to exceed and if they do so inadvertently or unavoidably (one-off) they pick up an equitable share of the cost, for that charging year, without unnecessarily locking up capacity and risking network congestion longer term.</w:t>
            </w:r>
          </w:p>
        </w:tc>
        <w:tc>
          <w:tcPr>
            <w:tcW w:w="3747" w:type="dxa"/>
            <w:shd w:val="clear" w:color="auto" w:fill="E2EFD9" w:themeFill="accent6" w:themeFillTint="33"/>
          </w:tcPr>
          <w:p w14:paraId="70FE8A51"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3468D114" w14:textId="77777777" w:rsidTr="005B462E">
        <w:tc>
          <w:tcPr>
            <w:tcW w:w="1730" w:type="dxa"/>
          </w:tcPr>
          <w:p w14:paraId="75B95893" w14:textId="5A9A967C"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628802FA" w14:textId="778BEA1C" w:rsidR="00846BC9" w:rsidRPr="00FE7B40"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16E7203E" w14:textId="0730F931"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 xml:space="preserve">Yes, should a customer be advised of the potential for increased charges. If they continue to exceed their capacity, in our view, this will either encourage the customer to increase their MIC to ensure they do not pay excess </w:t>
            </w:r>
            <w:proofErr w:type="gramStart"/>
            <w:r w:rsidRPr="00BB00BF">
              <w:rPr>
                <w:rFonts w:asciiTheme="minorHAnsi" w:hAnsiTheme="minorHAnsi" w:cstheme="minorHAnsi"/>
                <w:b w:val="0"/>
                <w:bCs/>
                <w:sz w:val="22"/>
                <w:szCs w:val="22"/>
                <w:lang w:val="en-GB"/>
              </w:rPr>
              <w:t>charges, or</w:t>
            </w:r>
            <w:proofErr w:type="gramEnd"/>
            <w:r w:rsidRPr="00BB00BF">
              <w:rPr>
                <w:rFonts w:asciiTheme="minorHAnsi" w:hAnsiTheme="minorHAnsi" w:cstheme="minorHAnsi"/>
                <w:b w:val="0"/>
                <w:bCs/>
                <w:sz w:val="22"/>
                <w:szCs w:val="22"/>
                <w:lang w:val="en-GB"/>
              </w:rPr>
              <w:t xml:space="preserve"> will encourage them to remain within their current capacity.</w:t>
            </w:r>
          </w:p>
        </w:tc>
        <w:tc>
          <w:tcPr>
            <w:tcW w:w="3747" w:type="dxa"/>
            <w:shd w:val="clear" w:color="auto" w:fill="E2EFD9" w:themeFill="accent6" w:themeFillTint="33"/>
          </w:tcPr>
          <w:p w14:paraId="3BCCA1D2"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4E6EFE9" w14:textId="77777777" w:rsidTr="005B462E">
        <w:tc>
          <w:tcPr>
            <w:tcW w:w="1730" w:type="dxa"/>
          </w:tcPr>
          <w:p w14:paraId="4E7136B5" w14:textId="4DA136EC"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684C8B27" w14:textId="3CC4D43A" w:rsidR="00846BC9" w:rsidRPr="00FE7B40"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B83495B" w14:textId="2FACD35B"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 xml:space="preserve">Yes, see our response to q.3. – we are not sure that cost parity between exceeded capacity and agreed increased capacity is sufficient to incentivise </w:t>
            </w:r>
            <w:r w:rsidRPr="00AC1944">
              <w:rPr>
                <w:rFonts w:asciiTheme="minorHAnsi" w:hAnsiTheme="minorHAnsi" w:cstheme="minorHAnsi"/>
                <w:b w:val="0"/>
                <w:bCs/>
                <w:sz w:val="22"/>
                <w:szCs w:val="22"/>
                <w:lang w:val="en-GB"/>
              </w:rPr>
              <w:lastRenderedPageBreak/>
              <w:t xml:space="preserve">all or most users. Any analysis that </w:t>
            </w:r>
            <w:proofErr w:type="gramStart"/>
            <w:r w:rsidRPr="00AC1944">
              <w:rPr>
                <w:rFonts w:asciiTheme="minorHAnsi" w:hAnsiTheme="minorHAnsi" w:cstheme="minorHAnsi"/>
                <w:b w:val="0"/>
                <w:bCs/>
                <w:sz w:val="22"/>
                <w:szCs w:val="22"/>
                <w:lang w:val="en-GB"/>
              </w:rPr>
              <w:t>is able to</w:t>
            </w:r>
            <w:proofErr w:type="gramEnd"/>
            <w:r w:rsidRPr="00AC1944">
              <w:rPr>
                <w:rFonts w:asciiTheme="minorHAnsi" w:hAnsiTheme="minorHAnsi" w:cstheme="minorHAnsi"/>
                <w:b w:val="0"/>
                <w:bCs/>
                <w:sz w:val="22"/>
                <w:szCs w:val="22"/>
                <w:lang w:val="en-GB"/>
              </w:rPr>
              <w:t xml:space="preserve"> be sourced from DNOs who have used this approach in the past could be helpful.</w:t>
            </w:r>
          </w:p>
        </w:tc>
        <w:tc>
          <w:tcPr>
            <w:tcW w:w="3747" w:type="dxa"/>
            <w:shd w:val="clear" w:color="auto" w:fill="E2EFD9" w:themeFill="accent6" w:themeFillTint="33"/>
          </w:tcPr>
          <w:p w14:paraId="56A2215E"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3FBCCF7" w14:textId="77777777" w:rsidTr="005B462E">
        <w:tc>
          <w:tcPr>
            <w:tcW w:w="1730" w:type="dxa"/>
          </w:tcPr>
          <w:p w14:paraId="43A8D7B0"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3F674F62" w14:textId="126F761D" w:rsidR="00846BC9" w:rsidRPr="001723C9" w:rsidRDefault="00846BC9" w:rsidP="00846BC9">
            <w:pPr>
              <w:pStyle w:val="ColumnHeading"/>
              <w:rPr>
                <w:rFonts w:asciiTheme="minorHAnsi" w:hAnsiTheme="minorHAnsi" w:cstheme="minorHAnsi"/>
                <w:b w:val="0"/>
                <w:bCs/>
                <w:sz w:val="22"/>
                <w:szCs w:val="22"/>
              </w:rPr>
            </w:pPr>
            <w:r w:rsidRPr="00FE7B40">
              <w:rPr>
                <w:rFonts w:asciiTheme="minorHAnsi" w:hAnsiTheme="minorHAnsi" w:cstheme="minorHAnsi"/>
                <w:b w:val="0"/>
                <w:bCs/>
                <w:sz w:val="22"/>
                <w:szCs w:val="22"/>
              </w:rPr>
              <w:t>Non-Confidential</w:t>
            </w:r>
          </w:p>
        </w:tc>
        <w:tc>
          <w:tcPr>
            <w:tcW w:w="7040" w:type="dxa"/>
          </w:tcPr>
          <w:p w14:paraId="795D3146" w14:textId="7274E24B"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Believe this change would be more impactful on customers who very rarely (e.g. once a year) exceed capacity than those who repeatedly do and act ‘irrationally’ which would be targeting the wrong customers. If a customer repeatedly exceeds capacity currently</w:t>
            </w:r>
            <w:r>
              <w:rPr>
                <w:rFonts w:asciiTheme="minorHAnsi" w:hAnsiTheme="minorHAnsi" w:cstheme="minorHAnsi"/>
                <w:b w:val="0"/>
                <w:bCs/>
                <w:sz w:val="22"/>
                <w:szCs w:val="22"/>
                <w:lang w:val="en-GB"/>
              </w:rPr>
              <w:t xml:space="preserve"> </w:t>
            </w:r>
            <w:r w:rsidRPr="00DB770B">
              <w:rPr>
                <w:rFonts w:asciiTheme="minorHAnsi" w:hAnsiTheme="minorHAnsi" w:cstheme="minorHAnsi"/>
                <w:b w:val="0"/>
                <w:bCs/>
                <w:sz w:val="22"/>
                <w:szCs w:val="22"/>
                <w:lang w:val="en-GB"/>
              </w:rPr>
              <w:t xml:space="preserve">and doesn’t believe it is worth updating the MIC </w:t>
            </w:r>
            <w:proofErr w:type="gramStart"/>
            <w:r w:rsidRPr="00DB770B">
              <w:rPr>
                <w:rFonts w:asciiTheme="minorHAnsi" w:hAnsiTheme="minorHAnsi" w:cstheme="minorHAnsi"/>
                <w:b w:val="0"/>
                <w:bCs/>
                <w:sz w:val="22"/>
                <w:szCs w:val="22"/>
                <w:lang w:val="en-GB"/>
              </w:rPr>
              <w:t>still</w:t>
            </w:r>
            <w:proofErr w:type="gramEnd"/>
            <w:r w:rsidRPr="00DB770B">
              <w:rPr>
                <w:rFonts w:asciiTheme="minorHAnsi" w:hAnsiTheme="minorHAnsi" w:cstheme="minorHAnsi"/>
                <w:b w:val="0"/>
                <w:bCs/>
                <w:sz w:val="22"/>
                <w:szCs w:val="22"/>
                <w:lang w:val="en-GB"/>
              </w:rPr>
              <w:t xml:space="preserve"> then I don’t believe this change would affect them much either</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07383FFF"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E039F09" w14:textId="77777777" w:rsidTr="005B462E">
        <w:tc>
          <w:tcPr>
            <w:tcW w:w="1730" w:type="dxa"/>
          </w:tcPr>
          <w:p w14:paraId="3DF2E377"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2A0D2DDD" w14:textId="5912FA1F" w:rsidR="00846BC9" w:rsidRPr="001723C9" w:rsidRDefault="00846BC9" w:rsidP="00846BC9">
            <w:pPr>
              <w:pStyle w:val="ColumnHeading"/>
              <w:rPr>
                <w:rFonts w:asciiTheme="minorHAnsi" w:hAnsiTheme="minorHAnsi" w:cstheme="minorHAnsi"/>
                <w:b w:val="0"/>
                <w:bCs/>
                <w:sz w:val="22"/>
                <w:szCs w:val="22"/>
              </w:rPr>
            </w:pPr>
            <w:r w:rsidRPr="00FE7B40">
              <w:rPr>
                <w:rFonts w:asciiTheme="minorHAnsi" w:hAnsiTheme="minorHAnsi" w:cstheme="minorHAnsi"/>
                <w:b w:val="0"/>
                <w:bCs/>
                <w:sz w:val="22"/>
                <w:szCs w:val="22"/>
              </w:rPr>
              <w:t>Non-Confidential</w:t>
            </w:r>
          </w:p>
        </w:tc>
        <w:tc>
          <w:tcPr>
            <w:tcW w:w="7040" w:type="dxa"/>
          </w:tcPr>
          <w:p w14:paraId="56A544C3" w14:textId="1D610B66" w:rsidR="00846BC9" w:rsidRPr="00DE2A65" w:rsidRDefault="00846BC9" w:rsidP="00846BC9">
            <w:pPr>
              <w:pStyle w:val="ColumnHeading"/>
              <w:rPr>
                <w:rFonts w:asciiTheme="minorHAnsi" w:hAnsiTheme="minorHAnsi" w:cstheme="minorHAnsi"/>
                <w:b w:val="0"/>
                <w:bCs/>
                <w:sz w:val="22"/>
                <w:szCs w:val="22"/>
                <w:lang w:val="en-GB"/>
              </w:rPr>
            </w:pPr>
            <w:proofErr w:type="gramStart"/>
            <w:r w:rsidRPr="005C7D70">
              <w:rPr>
                <w:rFonts w:asciiTheme="minorHAnsi" w:hAnsiTheme="minorHAnsi" w:cstheme="minorHAnsi"/>
                <w:b w:val="0"/>
                <w:bCs/>
                <w:sz w:val="22"/>
                <w:szCs w:val="22"/>
                <w:lang w:val="en-GB"/>
              </w:rPr>
              <w:t>Yes</w:t>
            </w:r>
            <w:proofErr w:type="gramEnd"/>
            <w:r w:rsidRPr="005C7D70">
              <w:rPr>
                <w:rFonts w:asciiTheme="minorHAnsi" w:hAnsiTheme="minorHAnsi" w:cstheme="minorHAnsi"/>
                <w:b w:val="0"/>
                <w:bCs/>
                <w:sz w:val="22"/>
                <w:szCs w:val="22"/>
                <w:lang w:val="en-GB"/>
              </w:rPr>
              <w:t xml:space="preserve"> we believe that it does, we utilised this approach for </w:t>
            </w:r>
            <w:proofErr w:type="gramStart"/>
            <w:r w:rsidRPr="005C7D70">
              <w:rPr>
                <w:rFonts w:asciiTheme="minorHAnsi" w:hAnsiTheme="minorHAnsi" w:cstheme="minorHAnsi"/>
                <w:b w:val="0"/>
                <w:bCs/>
                <w:sz w:val="22"/>
                <w:szCs w:val="22"/>
                <w:lang w:val="en-GB"/>
              </w:rPr>
              <w:t>a number of</w:t>
            </w:r>
            <w:proofErr w:type="gramEnd"/>
            <w:r w:rsidRPr="005C7D70">
              <w:rPr>
                <w:rFonts w:asciiTheme="minorHAnsi" w:hAnsiTheme="minorHAnsi" w:cstheme="minorHAnsi"/>
                <w:b w:val="0"/>
                <w:bCs/>
                <w:sz w:val="22"/>
                <w:szCs w:val="22"/>
                <w:lang w:val="en-GB"/>
              </w:rPr>
              <w:t xml:space="preserve"> years prior to the CDCM being implemented and although you could argue that the world was different </w:t>
            </w:r>
            <w:proofErr w:type="spellStart"/>
            <w:r w:rsidRPr="005C7D70">
              <w:rPr>
                <w:rFonts w:asciiTheme="minorHAnsi" w:hAnsiTheme="minorHAnsi" w:cstheme="minorHAnsi"/>
                <w:b w:val="0"/>
                <w:bCs/>
                <w:sz w:val="22"/>
                <w:szCs w:val="22"/>
                <w:lang w:val="en-GB"/>
              </w:rPr>
              <w:t>then</w:t>
            </w:r>
            <w:proofErr w:type="spellEnd"/>
            <w:r w:rsidRPr="005C7D70">
              <w:rPr>
                <w:rFonts w:asciiTheme="minorHAnsi" w:hAnsiTheme="minorHAnsi" w:cstheme="minorHAnsi"/>
                <w:b w:val="0"/>
                <w:bCs/>
                <w:sz w:val="22"/>
                <w:szCs w:val="22"/>
                <w:lang w:val="en-GB"/>
              </w:rPr>
              <w:t xml:space="preserve"> we did not experience a significant volume of customers exceeding their agreed MIC.</w:t>
            </w:r>
          </w:p>
        </w:tc>
        <w:tc>
          <w:tcPr>
            <w:tcW w:w="3747" w:type="dxa"/>
            <w:shd w:val="clear" w:color="auto" w:fill="E2EFD9" w:themeFill="accent6" w:themeFillTint="33"/>
          </w:tcPr>
          <w:p w14:paraId="1D4BBFA3"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5D55004" w14:textId="77777777" w:rsidTr="005B462E">
        <w:tc>
          <w:tcPr>
            <w:tcW w:w="14076" w:type="dxa"/>
            <w:gridSpan w:val="4"/>
            <w:shd w:val="clear" w:color="auto" w:fill="E2EFD9" w:themeFill="accent6" w:themeFillTint="33"/>
          </w:tcPr>
          <w:p w14:paraId="2AF51C15" w14:textId="25AF119B"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Seven responders stated that they believed this change would incentivise customers to not exceed their MIC.</w:t>
            </w:r>
          </w:p>
          <w:p w14:paraId="18431418" w14:textId="4D85687B"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of these responders noted that they utilised this approach years ago prior to the CDCM being introduced.</w:t>
            </w:r>
          </w:p>
          <w:p w14:paraId="6066949D" w14:textId="4FE04697"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Many who said they believed the change offered incentives to customers to not exceed their MIC went on to state that they believed that the incentive would be greater for sites that rarely exceeded their MIC and that for sites who regularly exceed, the incentive may not be strong enough as they’d be paying the excess capacity charges anyway.</w:t>
            </w:r>
          </w:p>
          <w:p w14:paraId="4F449A03" w14:textId="560C8E0D"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The other two responders said that they couldn’t say either way if the change would provide incentives to not exceed or not.</w:t>
            </w:r>
          </w:p>
        </w:tc>
      </w:tr>
    </w:tbl>
    <w:p w14:paraId="5D9FA48C"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423AD73E"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66603013"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3213ED8" w14:textId="4CBB31BC"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Are you aware of any unintended consequences of A. Billing Excess Capacity based on the highest MD over 12 months B. Creating a differential rate for excess capacity. C. Any alternative solution you have suggested Please provide details.</w:t>
            </w:r>
          </w:p>
        </w:tc>
        <w:tc>
          <w:tcPr>
            <w:tcW w:w="3747" w:type="dxa"/>
            <w:shd w:val="clear" w:color="auto" w:fill="E2EFD9" w:themeFill="accent6" w:themeFillTint="33"/>
          </w:tcPr>
          <w:p w14:paraId="7D749432"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57E9B13F" w14:textId="77777777" w:rsidTr="005B462E">
        <w:tc>
          <w:tcPr>
            <w:tcW w:w="1730" w:type="dxa"/>
          </w:tcPr>
          <w:p w14:paraId="785AD558"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4FB79943" w14:textId="7263C7B4"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517F88C3" w14:textId="20281215"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24AE907C"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5186D02F" w14:textId="77777777" w:rsidTr="005B462E">
        <w:tc>
          <w:tcPr>
            <w:tcW w:w="1730" w:type="dxa"/>
          </w:tcPr>
          <w:p w14:paraId="3B41B3AD"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296BC00" w14:textId="535F24FA" w:rsidR="00F65952" w:rsidRPr="001723C9" w:rsidRDefault="00F65952" w:rsidP="00F65952">
            <w:pPr>
              <w:pStyle w:val="ColumnHeading"/>
              <w:rPr>
                <w:rFonts w:asciiTheme="minorHAnsi" w:hAnsiTheme="minorHAnsi" w:cstheme="minorHAnsi"/>
                <w:b w:val="0"/>
                <w:bCs/>
                <w:sz w:val="22"/>
                <w:szCs w:val="22"/>
              </w:rPr>
            </w:pPr>
            <w:r w:rsidRPr="00E156A4">
              <w:rPr>
                <w:rFonts w:asciiTheme="minorHAnsi" w:hAnsiTheme="minorHAnsi" w:cstheme="minorHAnsi"/>
                <w:b w:val="0"/>
                <w:bCs/>
                <w:sz w:val="22"/>
                <w:szCs w:val="22"/>
              </w:rPr>
              <w:t>Non-Confidential</w:t>
            </w:r>
          </w:p>
        </w:tc>
        <w:tc>
          <w:tcPr>
            <w:tcW w:w="7040" w:type="dxa"/>
          </w:tcPr>
          <w:p w14:paraId="4BB74921" w14:textId="3AE3DEE3"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Either solution could drive increased consumer queries to suppliers which will need explaining to the consumer.  </w:t>
            </w:r>
          </w:p>
        </w:tc>
        <w:tc>
          <w:tcPr>
            <w:tcW w:w="3747" w:type="dxa"/>
            <w:shd w:val="clear" w:color="auto" w:fill="E2EFD9" w:themeFill="accent6" w:themeFillTint="33"/>
          </w:tcPr>
          <w:p w14:paraId="517D5DDD"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8FAC7D4" w14:textId="77777777" w:rsidTr="005B462E">
        <w:tc>
          <w:tcPr>
            <w:tcW w:w="1730" w:type="dxa"/>
          </w:tcPr>
          <w:p w14:paraId="3BED804E"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15FF306" w14:textId="041A6796" w:rsidR="00F65952" w:rsidRPr="001723C9" w:rsidRDefault="00F65952" w:rsidP="00F65952">
            <w:pPr>
              <w:pStyle w:val="ColumnHeading"/>
              <w:rPr>
                <w:rFonts w:asciiTheme="minorHAnsi" w:hAnsiTheme="minorHAnsi" w:cstheme="minorHAnsi"/>
                <w:b w:val="0"/>
                <w:bCs/>
                <w:sz w:val="22"/>
                <w:szCs w:val="22"/>
                <w:lang w:val="en-GB"/>
              </w:rPr>
            </w:pPr>
            <w:r w:rsidRPr="00E156A4">
              <w:rPr>
                <w:rFonts w:asciiTheme="minorHAnsi" w:hAnsiTheme="minorHAnsi" w:cstheme="minorHAnsi"/>
                <w:b w:val="0"/>
                <w:bCs/>
                <w:sz w:val="22"/>
                <w:szCs w:val="22"/>
              </w:rPr>
              <w:t>Non-Confidential</w:t>
            </w:r>
          </w:p>
        </w:tc>
        <w:tc>
          <w:tcPr>
            <w:tcW w:w="7040" w:type="dxa"/>
          </w:tcPr>
          <w:p w14:paraId="78FAF9FA" w14:textId="25BC555D"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4F54F2FE"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088AC333" w14:textId="77777777" w:rsidTr="005B462E">
        <w:tc>
          <w:tcPr>
            <w:tcW w:w="1730" w:type="dxa"/>
          </w:tcPr>
          <w:p w14:paraId="17D0C36B" w14:textId="381CBAF3"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3EE5AA93" w14:textId="04049407" w:rsidR="00F65952" w:rsidRPr="001723C9" w:rsidRDefault="00F65952" w:rsidP="00F65952">
            <w:pPr>
              <w:pStyle w:val="ColumnHeading"/>
              <w:rPr>
                <w:rFonts w:asciiTheme="minorHAnsi" w:hAnsiTheme="minorHAnsi" w:cstheme="minorHAnsi"/>
                <w:b w:val="0"/>
                <w:bCs/>
                <w:sz w:val="22"/>
                <w:szCs w:val="22"/>
              </w:rPr>
            </w:pPr>
            <w:r w:rsidRPr="00E156A4">
              <w:rPr>
                <w:rFonts w:asciiTheme="minorHAnsi" w:hAnsiTheme="minorHAnsi" w:cstheme="minorHAnsi"/>
                <w:b w:val="0"/>
                <w:bCs/>
                <w:sz w:val="22"/>
                <w:szCs w:val="22"/>
              </w:rPr>
              <w:t>Non-Confidential</w:t>
            </w:r>
          </w:p>
        </w:tc>
        <w:tc>
          <w:tcPr>
            <w:tcW w:w="7040" w:type="dxa"/>
          </w:tcPr>
          <w:p w14:paraId="1BC49D77"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A – Yes, if a site:</w:t>
            </w:r>
          </w:p>
          <w:p w14:paraId="592B5CFF" w14:textId="77777777" w:rsidR="00023295" w:rsidRPr="00023295" w:rsidRDefault="00023295" w:rsidP="00023295">
            <w:pPr>
              <w:rPr>
                <w:lang w:val="en-GB"/>
              </w:rPr>
            </w:pPr>
          </w:p>
          <w:p w14:paraId="60D9AD6E" w14:textId="43E7E9E0" w:rsidR="00023295" w:rsidRDefault="00023295" w:rsidP="005C7D70">
            <w:pPr>
              <w:pStyle w:val="ColumnHeading"/>
              <w:numPr>
                <w:ilvl w:val="0"/>
                <w:numId w:val="6"/>
              </w:numPr>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changed hands then the new customer would be paying for the previous customer exceeding their MIC.</w:t>
            </w:r>
          </w:p>
          <w:p w14:paraId="3A7C0C12" w14:textId="77777777" w:rsidR="00023295" w:rsidRPr="00023295" w:rsidRDefault="00023295" w:rsidP="00023295">
            <w:pPr>
              <w:rPr>
                <w:lang w:val="en-GB"/>
              </w:rPr>
            </w:pPr>
          </w:p>
          <w:p w14:paraId="19DF2E94" w14:textId="0FAE036D" w:rsidR="00023295" w:rsidRDefault="00023295" w:rsidP="005C7D70">
            <w:pPr>
              <w:pStyle w:val="ColumnHeading"/>
              <w:numPr>
                <w:ilvl w:val="0"/>
                <w:numId w:val="6"/>
              </w:numPr>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had an erroneous spike in data that wasn’t caught and withdrawn by DNO pre-billing checks, and if the spike was not corrected in a timely manner by the Supplier’s data </w:t>
            </w:r>
            <w:proofErr w:type="gramStart"/>
            <w:r w:rsidRPr="00023295">
              <w:rPr>
                <w:rFonts w:asciiTheme="minorHAnsi" w:hAnsiTheme="minorHAnsi" w:cstheme="minorHAnsi"/>
                <w:b w:val="0"/>
                <w:sz w:val="22"/>
                <w:szCs w:val="22"/>
                <w:lang w:val="en-GB"/>
              </w:rPr>
              <w:t>collector</w:t>
            </w:r>
            <w:proofErr w:type="gramEnd"/>
            <w:r w:rsidRPr="00023295">
              <w:rPr>
                <w:rFonts w:asciiTheme="minorHAnsi" w:hAnsiTheme="minorHAnsi" w:cstheme="minorHAnsi"/>
                <w:b w:val="0"/>
                <w:sz w:val="22"/>
                <w:szCs w:val="22"/>
                <w:lang w:val="en-GB"/>
              </w:rPr>
              <w:t xml:space="preserve"> then this could lead to excessive capacity charging for up to 12 months.  </w:t>
            </w:r>
          </w:p>
          <w:p w14:paraId="45635B2F" w14:textId="77777777" w:rsidR="00023295" w:rsidRPr="00023295" w:rsidRDefault="00023295" w:rsidP="00023295">
            <w:pPr>
              <w:rPr>
                <w:lang w:val="en-GB"/>
              </w:rPr>
            </w:pPr>
          </w:p>
          <w:p w14:paraId="0BCDA6EB" w14:textId="220AA089"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B – No. This was the status quo from 2017/18 to 2024/25 and there were no unintended consequences identified during that time.</w:t>
            </w:r>
          </w:p>
        </w:tc>
        <w:tc>
          <w:tcPr>
            <w:tcW w:w="3747" w:type="dxa"/>
            <w:shd w:val="clear" w:color="auto" w:fill="E2EFD9" w:themeFill="accent6" w:themeFillTint="33"/>
          </w:tcPr>
          <w:p w14:paraId="6B892CDB"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F707B76" w14:textId="77777777" w:rsidTr="005B462E">
        <w:tc>
          <w:tcPr>
            <w:tcW w:w="1730" w:type="dxa"/>
          </w:tcPr>
          <w:p w14:paraId="4E6F35E5"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SPEN</w:t>
            </w:r>
          </w:p>
        </w:tc>
        <w:tc>
          <w:tcPr>
            <w:tcW w:w="1559" w:type="dxa"/>
          </w:tcPr>
          <w:p w14:paraId="1B737F24" w14:textId="3EAF7C4D" w:rsidR="00F65952" w:rsidRPr="001723C9" w:rsidRDefault="00F65952" w:rsidP="00F65952">
            <w:pPr>
              <w:pStyle w:val="ColumnHeading"/>
              <w:rPr>
                <w:rFonts w:asciiTheme="minorHAnsi" w:hAnsiTheme="minorHAnsi" w:cstheme="minorHAnsi"/>
                <w:b w:val="0"/>
                <w:bCs/>
                <w:sz w:val="22"/>
                <w:szCs w:val="22"/>
              </w:rPr>
            </w:pPr>
            <w:r w:rsidRPr="00E156A4">
              <w:rPr>
                <w:rFonts w:asciiTheme="minorHAnsi" w:hAnsiTheme="minorHAnsi" w:cstheme="minorHAnsi"/>
                <w:b w:val="0"/>
                <w:bCs/>
                <w:sz w:val="22"/>
                <w:szCs w:val="22"/>
              </w:rPr>
              <w:t>Non-Confidential</w:t>
            </w:r>
          </w:p>
        </w:tc>
        <w:tc>
          <w:tcPr>
            <w:tcW w:w="7040" w:type="dxa"/>
          </w:tcPr>
          <w:p w14:paraId="04AEF99D" w14:textId="77777777" w:rsidR="00DB770B" w:rsidRDefault="00DB770B" w:rsidP="00DB770B">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A – Customers could view this a new authorised assigned capacity in perpetuity.</w:t>
            </w:r>
          </w:p>
          <w:p w14:paraId="5593F916" w14:textId="77777777" w:rsidR="00DB770B" w:rsidRPr="00DB770B" w:rsidRDefault="00DB770B" w:rsidP="00DB770B"/>
          <w:p w14:paraId="47AAA0AD" w14:textId="77777777" w:rsidR="00DB770B" w:rsidRDefault="00DB770B" w:rsidP="00DB770B">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B – None</w:t>
            </w:r>
          </w:p>
          <w:p w14:paraId="0C7D4FB3" w14:textId="77777777" w:rsidR="00DB770B" w:rsidRPr="00DB770B" w:rsidRDefault="00DB770B" w:rsidP="00DB770B"/>
          <w:p w14:paraId="38E13F9A" w14:textId="77E2DFDD" w:rsidR="00F65952" w:rsidRPr="0093655A" w:rsidRDefault="00DB770B" w:rsidP="00DB770B">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C – N/A</w:t>
            </w:r>
          </w:p>
        </w:tc>
        <w:tc>
          <w:tcPr>
            <w:tcW w:w="3747" w:type="dxa"/>
            <w:shd w:val="clear" w:color="auto" w:fill="E2EFD9" w:themeFill="accent6" w:themeFillTint="33"/>
          </w:tcPr>
          <w:p w14:paraId="3451C146"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6130B819" w14:textId="77777777" w:rsidTr="005B462E">
        <w:tc>
          <w:tcPr>
            <w:tcW w:w="1730" w:type="dxa"/>
          </w:tcPr>
          <w:p w14:paraId="5B3603E6" w14:textId="1F0288F1"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4240665F" w14:textId="3F4C3881" w:rsidR="00846BC9" w:rsidRPr="00E156A4"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BA41FDB" w14:textId="6674A508"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Although we appreciate that customers need to ensure they remain within their MIC and should be deterred from exceeding that to reduce strain on the network, any changes need to consider the supplier impact, such as increased consumer complaints.</w:t>
            </w:r>
          </w:p>
        </w:tc>
        <w:tc>
          <w:tcPr>
            <w:tcW w:w="3747" w:type="dxa"/>
            <w:shd w:val="clear" w:color="auto" w:fill="E2EFD9" w:themeFill="accent6" w:themeFillTint="33"/>
          </w:tcPr>
          <w:p w14:paraId="2266EA21"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0CA3C22" w14:textId="77777777" w:rsidTr="005B462E">
        <w:tc>
          <w:tcPr>
            <w:tcW w:w="1730" w:type="dxa"/>
          </w:tcPr>
          <w:p w14:paraId="1226EDDB" w14:textId="6A20741E"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7A7FB0B0" w14:textId="7A139922" w:rsidR="00846BC9" w:rsidRPr="00E156A4"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FAA50BE" w14:textId="4613052B"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For point A, please see our responses to q.3 and 7.: we are not sure that cost parity between exceeded capacity and agreed increased capacity is sufficient to incentivise all or most users, i.e. the practice of exceeding capacity may persist, unless the proposed charging period is increased to create a cost differential for users between exceedance and increasing their MIC . Any analysis that can be sourced from DNOs who have used the approach in the past could be helpful.</w:t>
            </w:r>
          </w:p>
        </w:tc>
        <w:tc>
          <w:tcPr>
            <w:tcW w:w="3747" w:type="dxa"/>
            <w:shd w:val="clear" w:color="auto" w:fill="E2EFD9" w:themeFill="accent6" w:themeFillTint="33"/>
          </w:tcPr>
          <w:p w14:paraId="13E845CB"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0195BE6" w14:textId="77777777" w:rsidTr="005B462E">
        <w:tc>
          <w:tcPr>
            <w:tcW w:w="1730" w:type="dxa"/>
          </w:tcPr>
          <w:p w14:paraId="593D4052"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1DD97D8E" w14:textId="6D4072CE" w:rsidR="00846BC9" w:rsidRPr="001723C9" w:rsidRDefault="00846BC9" w:rsidP="00846BC9">
            <w:pPr>
              <w:pStyle w:val="ColumnHeading"/>
              <w:rPr>
                <w:rFonts w:asciiTheme="minorHAnsi" w:hAnsiTheme="minorHAnsi" w:cstheme="minorHAnsi"/>
                <w:b w:val="0"/>
                <w:bCs/>
                <w:sz w:val="22"/>
                <w:szCs w:val="22"/>
              </w:rPr>
            </w:pPr>
            <w:r w:rsidRPr="00E156A4">
              <w:rPr>
                <w:rFonts w:asciiTheme="minorHAnsi" w:hAnsiTheme="minorHAnsi" w:cstheme="minorHAnsi"/>
                <w:b w:val="0"/>
                <w:bCs/>
                <w:sz w:val="22"/>
                <w:szCs w:val="22"/>
              </w:rPr>
              <w:t>Non-Confidential</w:t>
            </w:r>
          </w:p>
        </w:tc>
        <w:tc>
          <w:tcPr>
            <w:tcW w:w="7040" w:type="dxa"/>
          </w:tcPr>
          <w:p w14:paraId="3BB27C6A" w14:textId="55E293C6"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Those mentioned in response to question 3</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495BC174"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F59DABA" w14:textId="77777777" w:rsidTr="005B462E">
        <w:tc>
          <w:tcPr>
            <w:tcW w:w="1730" w:type="dxa"/>
          </w:tcPr>
          <w:p w14:paraId="47E781D0"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176BDAB0" w14:textId="5C814B0F" w:rsidR="00846BC9" w:rsidRPr="001723C9" w:rsidRDefault="00846BC9" w:rsidP="00846BC9">
            <w:pPr>
              <w:pStyle w:val="ColumnHeading"/>
              <w:rPr>
                <w:rFonts w:asciiTheme="minorHAnsi" w:hAnsiTheme="minorHAnsi" w:cstheme="minorHAnsi"/>
                <w:b w:val="0"/>
                <w:bCs/>
                <w:sz w:val="22"/>
                <w:szCs w:val="22"/>
              </w:rPr>
            </w:pPr>
            <w:r w:rsidRPr="00E156A4">
              <w:rPr>
                <w:rFonts w:asciiTheme="minorHAnsi" w:hAnsiTheme="minorHAnsi" w:cstheme="minorHAnsi"/>
                <w:b w:val="0"/>
                <w:bCs/>
                <w:sz w:val="22"/>
                <w:szCs w:val="22"/>
              </w:rPr>
              <w:t>Non-Confidential</w:t>
            </w:r>
          </w:p>
        </w:tc>
        <w:tc>
          <w:tcPr>
            <w:tcW w:w="7040" w:type="dxa"/>
          </w:tcPr>
          <w:p w14:paraId="1FB1486A" w14:textId="7162ED32"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The only issue we have identified for this solution (‘A’ above) is where a new Customer takes over a site as they would remain eligible for the costs caused by the previous Customer exceeding the capacity for the </w:t>
            </w:r>
            <w:proofErr w:type="gramStart"/>
            <w:r w:rsidRPr="005C7D70">
              <w:rPr>
                <w:rFonts w:asciiTheme="minorHAnsi" w:hAnsiTheme="minorHAnsi" w:cstheme="minorHAnsi"/>
                <w:b w:val="0"/>
                <w:bCs/>
                <w:sz w:val="22"/>
                <w:szCs w:val="22"/>
                <w:lang w:val="en-GB"/>
              </w:rPr>
              <w:t>period of time</w:t>
            </w:r>
            <w:proofErr w:type="gramEnd"/>
            <w:r w:rsidRPr="005C7D70">
              <w:rPr>
                <w:rFonts w:asciiTheme="minorHAnsi" w:hAnsiTheme="minorHAnsi" w:cstheme="minorHAnsi"/>
                <w:b w:val="0"/>
                <w:bCs/>
                <w:sz w:val="22"/>
                <w:szCs w:val="22"/>
                <w:lang w:val="en-GB"/>
              </w:rPr>
              <w:t xml:space="preserve"> which remains of the 12 months since the MIC was exceeded. We do not believe there is a robust way of effectively resetting the excess where a </w:t>
            </w:r>
            <w:r w:rsidRPr="005C7D70">
              <w:rPr>
                <w:rFonts w:asciiTheme="minorHAnsi" w:hAnsiTheme="minorHAnsi" w:cstheme="minorHAnsi"/>
                <w:b w:val="0"/>
                <w:bCs/>
                <w:sz w:val="22"/>
                <w:szCs w:val="22"/>
                <w:lang w:val="en-GB"/>
              </w:rPr>
              <w:lastRenderedPageBreak/>
              <w:t>New Customer takes on responsibility for a site (due to the lack of accurate information received advising us that this has happened, potentially causing too many resets).</w:t>
            </w:r>
          </w:p>
        </w:tc>
        <w:tc>
          <w:tcPr>
            <w:tcW w:w="3747" w:type="dxa"/>
            <w:shd w:val="clear" w:color="auto" w:fill="E2EFD9" w:themeFill="accent6" w:themeFillTint="33"/>
          </w:tcPr>
          <w:p w14:paraId="6F33C001"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9BFEE49" w14:textId="77777777" w:rsidTr="005B462E">
        <w:tc>
          <w:tcPr>
            <w:tcW w:w="14076" w:type="dxa"/>
            <w:gridSpan w:val="4"/>
            <w:shd w:val="clear" w:color="auto" w:fill="E2EFD9" w:themeFill="accent6" w:themeFillTint="33"/>
          </w:tcPr>
          <w:p w14:paraId="2528EEDC" w14:textId="77777777" w:rsidR="00846BC9" w:rsidRPr="001723C9" w:rsidRDefault="00846BC9" w:rsidP="00846BC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2E6026DE" w14:textId="77777777" w:rsidR="00846BC9" w:rsidRPr="001723C9" w:rsidRDefault="00846BC9" w:rsidP="00846BC9">
            <w:pPr>
              <w:pStyle w:val="BodyText"/>
              <w:rPr>
                <w:rFonts w:asciiTheme="minorHAnsi" w:hAnsiTheme="minorHAnsi" w:cstheme="minorHAnsi"/>
                <w:bCs/>
                <w:sz w:val="22"/>
                <w:szCs w:val="22"/>
                <w:lang w:val="en-GB"/>
              </w:rPr>
            </w:pPr>
          </w:p>
        </w:tc>
      </w:tr>
    </w:tbl>
    <w:p w14:paraId="4C9E9FE0"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FD9CCD9"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19469F7"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2FCB38A8"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have a view on what consequences there could be of customers exceeding MIC, for long-term and/or short-term DNO planning and/or DSO services?</w:t>
            </w:r>
          </w:p>
        </w:tc>
        <w:tc>
          <w:tcPr>
            <w:tcW w:w="3747" w:type="dxa"/>
            <w:shd w:val="clear" w:color="auto" w:fill="E2EFD9" w:themeFill="accent6" w:themeFillTint="33"/>
          </w:tcPr>
          <w:p w14:paraId="24F79C4E"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14D29D6D" w14:textId="77777777" w:rsidTr="005B462E">
        <w:tc>
          <w:tcPr>
            <w:tcW w:w="1730" w:type="dxa"/>
          </w:tcPr>
          <w:p w14:paraId="4D4C0DD5"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79BB8E19" w14:textId="3C4A6EB8"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2B47609A" w14:textId="0384541D"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 xml:space="preserve">We would also highlight that there is a not-insignificant risk associated with exceeding MIC, potentially repeatedly, where the network does not have the capacity to tolerate this, or where the network conditions could mean impact to other customers (e.g. through protection operating causing an outage to other customers). Under this situation, it ceases to be simply a matter of billing the customer for usage, and more of an exploration of recuperation of costs required for damages incurred or reinforcements needed </w:t>
            </w:r>
            <w:proofErr w:type="gramStart"/>
            <w:r w:rsidRPr="00F65952">
              <w:rPr>
                <w:rFonts w:asciiTheme="minorHAnsi" w:hAnsiTheme="minorHAnsi" w:cstheme="minorHAnsi"/>
                <w:b w:val="0"/>
                <w:bCs/>
                <w:sz w:val="22"/>
                <w:szCs w:val="22"/>
                <w:lang w:val="en-GB"/>
              </w:rPr>
              <w:t>as a result of</w:t>
            </w:r>
            <w:proofErr w:type="gramEnd"/>
            <w:r w:rsidRPr="00F65952">
              <w:rPr>
                <w:rFonts w:asciiTheme="minorHAnsi" w:hAnsiTheme="minorHAnsi" w:cstheme="minorHAnsi"/>
                <w:b w:val="0"/>
                <w:bCs/>
                <w:sz w:val="22"/>
                <w:szCs w:val="22"/>
                <w:lang w:val="en-GB"/>
              </w:rPr>
              <w:t xml:space="preserve"> the customer’s actions. We are aware that there are existing powers available under the ESQCR for similar situations however we would strongly advise that any solution compliments these for ease of implementation.</w:t>
            </w:r>
          </w:p>
        </w:tc>
        <w:tc>
          <w:tcPr>
            <w:tcW w:w="3747" w:type="dxa"/>
            <w:shd w:val="clear" w:color="auto" w:fill="E2EFD9" w:themeFill="accent6" w:themeFillTint="33"/>
          </w:tcPr>
          <w:p w14:paraId="6C51AFD0"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65D2B5C2" w14:textId="77777777" w:rsidTr="005B462E">
        <w:tc>
          <w:tcPr>
            <w:tcW w:w="1730" w:type="dxa"/>
          </w:tcPr>
          <w:p w14:paraId="6EEE1093"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DFEB729" w14:textId="440DD7BB" w:rsidR="00F65952" w:rsidRPr="001723C9" w:rsidRDefault="00F65952" w:rsidP="00F65952">
            <w:pPr>
              <w:pStyle w:val="ColumnHeading"/>
              <w:rPr>
                <w:rFonts w:asciiTheme="minorHAnsi" w:hAnsiTheme="minorHAnsi" w:cstheme="minorHAnsi"/>
                <w:b w:val="0"/>
                <w:bCs/>
                <w:sz w:val="22"/>
                <w:szCs w:val="22"/>
              </w:rPr>
            </w:pPr>
            <w:r w:rsidRPr="00125186">
              <w:rPr>
                <w:rFonts w:asciiTheme="minorHAnsi" w:hAnsiTheme="minorHAnsi" w:cstheme="minorHAnsi"/>
                <w:b w:val="0"/>
                <w:bCs/>
                <w:sz w:val="22"/>
                <w:szCs w:val="22"/>
              </w:rPr>
              <w:t>Non-Confidential</w:t>
            </w:r>
          </w:p>
        </w:tc>
        <w:tc>
          <w:tcPr>
            <w:tcW w:w="7040" w:type="dxa"/>
          </w:tcPr>
          <w:p w14:paraId="6FC57F20" w14:textId="2A381567" w:rsidR="00F65952" w:rsidRPr="001E2633"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06AAE9A9"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1CE9561B" w14:textId="77777777" w:rsidTr="005B462E">
        <w:tc>
          <w:tcPr>
            <w:tcW w:w="1730" w:type="dxa"/>
          </w:tcPr>
          <w:p w14:paraId="5F93CA9C"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NGED</w:t>
            </w:r>
          </w:p>
        </w:tc>
        <w:tc>
          <w:tcPr>
            <w:tcW w:w="1559" w:type="dxa"/>
          </w:tcPr>
          <w:p w14:paraId="43D0BB88" w14:textId="621A04A9" w:rsidR="00F65952" w:rsidRPr="001723C9" w:rsidRDefault="00F65952" w:rsidP="00F65952">
            <w:pPr>
              <w:pStyle w:val="ColumnHeading"/>
              <w:rPr>
                <w:rFonts w:asciiTheme="minorHAnsi" w:hAnsiTheme="minorHAnsi" w:cstheme="minorHAnsi"/>
                <w:b w:val="0"/>
                <w:bCs/>
                <w:sz w:val="22"/>
                <w:szCs w:val="22"/>
                <w:lang w:val="en-GB"/>
              </w:rPr>
            </w:pPr>
            <w:r w:rsidRPr="00125186">
              <w:rPr>
                <w:rFonts w:asciiTheme="minorHAnsi" w:hAnsiTheme="minorHAnsi" w:cstheme="minorHAnsi"/>
                <w:b w:val="0"/>
                <w:bCs/>
                <w:sz w:val="22"/>
                <w:szCs w:val="22"/>
              </w:rPr>
              <w:t>Non-Confidential</w:t>
            </w:r>
          </w:p>
        </w:tc>
        <w:tc>
          <w:tcPr>
            <w:tcW w:w="7040" w:type="dxa"/>
          </w:tcPr>
          <w:p w14:paraId="39B729B9" w14:textId="40F85401"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DNO’s plan for the </w:t>
            </w:r>
            <w:proofErr w:type="gramStart"/>
            <w:r w:rsidRPr="00B35D24">
              <w:rPr>
                <w:rFonts w:asciiTheme="minorHAnsi" w:hAnsiTheme="minorHAnsi" w:cstheme="minorHAnsi"/>
                <w:b w:val="0"/>
                <w:bCs/>
                <w:sz w:val="22"/>
                <w:szCs w:val="22"/>
                <w:lang w:val="en-GB"/>
              </w:rPr>
              <w:t>MIC</w:t>
            </w:r>
            <w:proofErr w:type="gramEnd"/>
            <w:r w:rsidRPr="00B35D24">
              <w:rPr>
                <w:rFonts w:asciiTheme="minorHAnsi" w:hAnsiTheme="minorHAnsi" w:cstheme="minorHAnsi"/>
                <w:b w:val="0"/>
                <w:bCs/>
                <w:sz w:val="22"/>
                <w:szCs w:val="22"/>
                <w:lang w:val="en-GB"/>
              </w:rPr>
              <w:t xml:space="preserve"> however, do use diversity and actual loadings in the planning of the network. Although if a customer goes over their capacity there could be safety issues.</w:t>
            </w:r>
          </w:p>
        </w:tc>
        <w:tc>
          <w:tcPr>
            <w:tcW w:w="3747" w:type="dxa"/>
            <w:shd w:val="clear" w:color="auto" w:fill="E2EFD9" w:themeFill="accent6" w:themeFillTint="33"/>
          </w:tcPr>
          <w:p w14:paraId="42C86577"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45125B1D" w14:textId="77777777" w:rsidTr="005B462E">
        <w:tc>
          <w:tcPr>
            <w:tcW w:w="1730" w:type="dxa"/>
          </w:tcPr>
          <w:p w14:paraId="3E991569" w14:textId="563F8AF3"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11D7418D" w14:textId="1B31BE88" w:rsidR="00F65952" w:rsidRPr="001723C9" w:rsidRDefault="00F65952" w:rsidP="00F65952">
            <w:pPr>
              <w:pStyle w:val="ColumnHeading"/>
              <w:rPr>
                <w:rFonts w:asciiTheme="minorHAnsi" w:hAnsiTheme="minorHAnsi" w:cstheme="minorHAnsi"/>
                <w:b w:val="0"/>
                <w:bCs/>
                <w:sz w:val="22"/>
                <w:szCs w:val="22"/>
              </w:rPr>
            </w:pPr>
            <w:r w:rsidRPr="00125186">
              <w:rPr>
                <w:rFonts w:asciiTheme="minorHAnsi" w:hAnsiTheme="minorHAnsi" w:cstheme="minorHAnsi"/>
                <w:b w:val="0"/>
                <w:bCs/>
                <w:sz w:val="22"/>
                <w:szCs w:val="22"/>
              </w:rPr>
              <w:t>Non-Confidential</w:t>
            </w:r>
          </w:p>
        </w:tc>
        <w:tc>
          <w:tcPr>
            <w:tcW w:w="7040" w:type="dxa"/>
          </w:tcPr>
          <w:p w14:paraId="09FA80FD" w14:textId="2655ECE1" w:rsidR="00F65952" w:rsidRPr="001E2633" w:rsidRDefault="00023295" w:rsidP="00F65952">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 xml:space="preserve">Not </w:t>
            </w:r>
            <w:proofErr w:type="gramStart"/>
            <w:r>
              <w:rPr>
                <w:rFonts w:asciiTheme="minorHAnsi" w:hAnsiTheme="minorHAnsi" w:cstheme="minorHAnsi"/>
                <w:b w:val="0"/>
                <w:sz w:val="22"/>
                <w:szCs w:val="22"/>
                <w:lang w:val="en-GB"/>
              </w:rPr>
              <w:t>at this time</w:t>
            </w:r>
            <w:proofErr w:type="gramEnd"/>
            <w:r>
              <w:rPr>
                <w:rFonts w:asciiTheme="minorHAnsi" w:hAnsiTheme="minorHAnsi" w:cstheme="minorHAnsi"/>
                <w:b w:val="0"/>
                <w:sz w:val="22"/>
                <w:szCs w:val="22"/>
                <w:lang w:val="en-GB"/>
              </w:rPr>
              <w:t>.</w:t>
            </w:r>
          </w:p>
        </w:tc>
        <w:tc>
          <w:tcPr>
            <w:tcW w:w="3747" w:type="dxa"/>
            <w:shd w:val="clear" w:color="auto" w:fill="E2EFD9" w:themeFill="accent6" w:themeFillTint="33"/>
          </w:tcPr>
          <w:p w14:paraId="6A33175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7D5F472" w14:textId="77777777" w:rsidTr="005B462E">
        <w:tc>
          <w:tcPr>
            <w:tcW w:w="1730" w:type="dxa"/>
          </w:tcPr>
          <w:p w14:paraId="6C3E3575"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995C61D" w14:textId="5E6739E7" w:rsidR="00F65952" w:rsidRPr="001723C9" w:rsidRDefault="00F65952" w:rsidP="00F65952">
            <w:pPr>
              <w:pStyle w:val="ColumnHeading"/>
              <w:rPr>
                <w:rFonts w:asciiTheme="minorHAnsi" w:hAnsiTheme="minorHAnsi" w:cstheme="minorHAnsi"/>
                <w:b w:val="0"/>
                <w:bCs/>
                <w:sz w:val="22"/>
                <w:szCs w:val="22"/>
              </w:rPr>
            </w:pPr>
            <w:r w:rsidRPr="00125186">
              <w:rPr>
                <w:rFonts w:asciiTheme="minorHAnsi" w:hAnsiTheme="minorHAnsi" w:cstheme="minorHAnsi"/>
                <w:b w:val="0"/>
                <w:bCs/>
                <w:sz w:val="22"/>
                <w:szCs w:val="22"/>
              </w:rPr>
              <w:t>Non-Confidential</w:t>
            </w:r>
          </w:p>
        </w:tc>
        <w:tc>
          <w:tcPr>
            <w:tcW w:w="7040" w:type="dxa"/>
          </w:tcPr>
          <w:p w14:paraId="71DDFCB5" w14:textId="7198E40D"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Long-term the customer could cause damage to their own, the DNO’s and potentially other customers’ equipment.</w:t>
            </w:r>
          </w:p>
        </w:tc>
        <w:tc>
          <w:tcPr>
            <w:tcW w:w="3747" w:type="dxa"/>
            <w:shd w:val="clear" w:color="auto" w:fill="E2EFD9" w:themeFill="accent6" w:themeFillTint="33"/>
          </w:tcPr>
          <w:p w14:paraId="6C34921B"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027E68CA" w14:textId="77777777" w:rsidTr="005B462E">
        <w:tc>
          <w:tcPr>
            <w:tcW w:w="1730" w:type="dxa"/>
          </w:tcPr>
          <w:p w14:paraId="6BA617C0" w14:textId="66A97C5E"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5DEA205A" w14:textId="0F150F79" w:rsidR="00846BC9" w:rsidRPr="00125186"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79E8036B" w14:textId="1F0F8860"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We do not believe enough analysis has been completed against the issues which this change is trying to rectify. It would be beneficial for DNOs to provide analysis on the impacts that customers exceeding their MIC have caused.</w:t>
            </w:r>
          </w:p>
        </w:tc>
        <w:tc>
          <w:tcPr>
            <w:tcW w:w="3747" w:type="dxa"/>
            <w:shd w:val="clear" w:color="auto" w:fill="E2EFD9" w:themeFill="accent6" w:themeFillTint="33"/>
          </w:tcPr>
          <w:p w14:paraId="54D82132"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2A9B16F" w14:textId="77777777" w:rsidTr="005B462E">
        <w:tc>
          <w:tcPr>
            <w:tcW w:w="1730" w:type="dxa"/>
          </w:tcPr>
          <w:p w14:paraId="292899CC" w14:textId="35FF48F5"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15A0F87C" w14:textId="1D9EBB18" w:rsidR="00846BC9" w:rsidRPr="00125186"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B696A90" w14:textId="5B373DF2"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We would have liked the consultation to include some analysis from the DNOs on the impacts of past and current incidences of MIC exceedance, such as how many there have been and what maximum and average exceedances DNOs have seen. We hope that this can still be provided.</w:t>
            </w:r>
          </w:p>
        </w:tc>
        <w:tc>
          <w:tcPr>
            <w:tcW w:w="3747" w:type="dxa"/>
            <w:shd w:val="clear" w:color="auto" w:fill="E2EFD9" w:themeFill="accent6" w:themeFillTint="33"/>
          </w:tcPr>
          <w:p w14:paraId="7629F50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36E4B11" w14:textId="77777777" w:rsidTr="005B462E">
        <w:tc>
          <w:tcPr>
            <w:tcW w:w="1730" w:type="dxa"/>
          </w:tcPr>
          <w:p w14:paraId="260F7CC7"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3B329D15" w14:textId="39252C3C" w:rsidR="00846BC9" w:rsidRPr="001723C9" w:rsidRDefault="00846BC9" w:rsidP="00846BC9">
            <w:pPr>
              <w:pStyle w:val="ColumnHeading"/>
              <w:rPr>
                <w:rFonts w:asciiTheme="minorHAnsi" w:hAnsiTheme="minorHAnsi" w:cstheme="minorHAnsi"/>
                <w:b w:val="0"/>
                <w:bCs/>
                <w:sz w:val="22"/>
                <w:szCs w:val="22"/>
              </w:rPr>
            </w:pPr>
            <w:r w:rsidRPr="00125186">
              <w:rPr>
                <w:rFonts w:asciiTheme="minorHAnsi" w:hAnsiTheme="minorHAnsi" w:cstheme="minorHAnsi"/>
                <w:b w:val="0"/>
                <w:bCs/>
                <w:sz w:val="22"/>
                <w:szCs w:val="22"/>
              </w:rPr>
              <w:t>Non-Confidential</w:t>
            </w:r>
          </w:p>
        </w:tc>
        <w:tc>
          <w:tcPr>
            <w:tcW w:w="7040" w:type="dxa"/>
          </w:tcPr>
          <w:p w14:paraId="1FC110B6" w14:textId="29DF891C" w:rsidR="00846BC9" w:rsidRPr="00DE2A65" w:rsidRDefault="00846BC9" w:rsidP="00846BC9">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 xml:space="preserve">If customers are consistently exceeding MIC and not </w:t>
            </w:r>
            <w:proofErr w:type="gramStart"/>
            <w:r w:rsidRPr="00DB770B">
              <w:rPr>
                <w:rFonts w:asciiTheme="minorHAnsi" w:hAnsiTheme="minorHAnsi" w:cstheme="minorHAnsi"/>
                <w:b w:val="0"/>
                <w:bCs/>
                <w:sz w:val="22"/>
                <w:szCs w:val="22"/>
                <w:lang w:val="en-GB"/>
              </w:rPr>
              <w:t>updating</w:t>
            </w:r>
            <w:proofErr w:type="gramEnd"/>
            <w:r w:rsidRPr="00DB770B">
              <w:rPr>
                <w:rFonts w:asciiTheme="minorHAnsi" w:hAnsiTheme="minorHAnsi" w:cstheme="minorHAnsi"/>
                <w:b w:val="0"/>
                <w:bCs/>
                <w:sz w:val="22"/>
                <w:szCs w:val="22"/>
                <w:lang w:val="en-GB"/>
              </w:rPr>
              <w:t xml:space="preserve"> then it would make it hard to forecast actual capacity usage for customers. Additional reinforcement would likely be needed as the excess increased. The longer the issue isn’t resolved the more natural and ingrained the behaviour could become making it harder to fix later. The DSO may have to procure and pay for flexibility services on the local network.</w:t>
            </w:r>
          </w:p>
        </w:tc>
        <w:tc>
          <w:tcPr>
            <w:tcW w:w="3747" w:type="dxa"/>
            <w:shd w:val="clear" w:color="auto" w:fill="E2EFD9" w:themeFill="accent6" w:themeFillTint="33"/>
          </w:tcPr>
          <w:p w14:paraId="4CAAE70A"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B1F34CB" w14:textId="77777777" w:rsidTr="005B462E">
        <w:tc>
          <w:tcPr>
            <w:tcW w:w="1730" w:type="dxa"/>
          </w:tcPr>
          <w:p w14:paraId="49429C3F"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UKPN</w:t>
            </w:r>
          </w:p>
        </w:tc>
        <w:tc>
          <w:tcPr>
            <w:tcW w:w="1559" w:type="dxa"/>
          </w:tcPr>
          <w:p w14:paraId="1B710B42" w14:textId="621EC10D" w:rsidR="00846BC9" w:rsidRPr="001723C9" w:rsidRDefault="00846BC9" w:rsidP="00846BC9">
            <w:pPr>
              <w:pStyle w:val="ColumnHeading"/>
              <w:rPr>
                <w:rFonts w:asciiTheme="minorHAnsi" w:hAnsiTheme="minorHAnsi" w:cstheme="minorHAnsi"/>
                <w:b w:val="0"/>
                <w:bCs/>
                <w:sz w:val="22"/>
                <w:szCs w:val="22"/>
              </w:rPr>
            </w:pPr>
            <w:r w:rsidRPr="00125186">
              <w:rPr>
                <w:rFonts w:asciiTheme="minorHAnsi" w:hAnsiTheme="minorHAnsi" w:cstheme="minorHAnsi"/>
                <w:b w:val="0"/>
                <w:bCs/>
                <w:sz w:val="22"/>
                <w:szCs w:val="22"/>
              </w:rPr>
              <w:t>Non-Confidential</w:t>
            </w:r>
          </w:p>
        </w:tc>
        <w:tc>
          <w:tcPr>
            <w:tcW w:w="7040" w:type="dxa"/>
          </w:tcPr>
          <w:p w14:paraId="00E70F4B" w14:textId="77777777" w:rsidR="00846BC9"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We are of the view that if the current number of customers exceeding their MIC continues to increase (especially on specific part of a network) then it is likely to cause issues on the network for a wider number of customers. The networks are only capable of a finite capacity.</w:t>
            </w:r>
          </w:p>
          <w:p w14:paraId="7E151513" w14:textId="77777777" w:rsidR="00846BC9" w:rsidRDefault="00846BC9" w:rsidP="00846BC9"/>
          <w:p w14:paraId="5AC9ABCE" w14:textId="5B929A68" w:rsidR="00846BC9" w:rsidRPr="005C7D70" w:rsidRDefault="00846BC9" w:rsidP="00846BC9">
            <w:pPr>
              <w:rPr>
                <w:rFonts w:asciiTheme="minorHAnsi" w:hAnsiTheme="minorHAnsi" w:cstheme="minorHAnsi"/>
              </w:rPr>
            </w:pPr>
            <w:r w:rsidRPr="005C7D70">
              <w:rPr>
                <w:rFonts w:asciiTheme="minorHAnsi" w:hAnsiTheme="minorHAnsi" w:cstheme="minorHAnsi"/>
                <w:sz w:val="22"/>
                <w:szCs w:val="22"/>
              </w:rPr>
              <w:t>Where customers exceed their capacity, this can drive the need for reinforcement, the costs of which are borne by all customers.</w:t>
            </w:r>
          </w:p>
        </w:tc>
        <w:tc>
          <w:tcPr>
            <w:tcW w:w="3747" w:type="dxa"/>
            <w:shd w:val="clear" w:color="auto" w:fill="E2EFD9" w:themeFill="accent6" w:themeFillTint="33"/>
          </w:tcPr>
          <w:p w14:paraId="05D0ECF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529EABB" w14:textId="77777777" w:rsidTr="005B462E">
        <w:tc>
          <w:tcPr>
            <w:tcW w:w="14076" w:type="dxa"/>
            <w:gridSpan w:val="4"/>
            <w:shd w:val="clear" w:color="auto" w:fill="E2EFD9" w:themeFill="accent6" w:themeFillTint="33"/>
          </w:tcPr>
          <w:p w14:paraId="24009391" w14:textId="5359D7D5" w:rsidR="00846BC9" w:rsidRPr="001723C9" w:rsidRDefault="00846BC9" w:rsidP="00846BC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 xml:space="preserve"> A number of issues were raised on the consequences of customers exceeding their MIC which ranged from the faster depreciation of assets due to higher-than-expected capacity being drawn, issue in forecasting actual capacity usage, additional reinforcement being required which is borne by all customers and the DSO may have to procure and pay for flexibility services on the local network.</w:t>
            </w:r>
          </w:p>
        </w:tc>
      </w:tr>
    </w:tbl>
    <w:p w14:paraId="074D354A"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E7D975D"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2324987D" w14:textId="70A0DB2E"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consider that the proposal better facilitates the DCUSA General Objectives? Please give supporting reasons.</w:t>
            </w:r>
          </w:p>
        </w:tc>
        <w:tc>
          <w:tcPr>
            <w:tcW w:w="3747" w:type="dxa"/>
            <w:shd w:val="clear" w:color="auto" w:fill="E2EFD9" w:themeFill="accent6" w:themeFillTint="33"/>
          </w:tcPr>
          <w:p w14:paraId="4DFAB4BF"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7AD3A0FD" w14:textId="77777777" w:rsidTr="005B462E">
        <w:tc>
          <w:tcPr>
            <w:tcW w:w="1730" w:type="dxa"/>
          </w:tcPr>
          <w:p w14:paraId="4016B1E1"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41B2CB8C" w14:textId="6103AF44"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0337864A" w14:textId="78754352"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Yes – 3. The efficient discharge by the DNO Parties and IDNO Parties of obligations imposed upon them in their Distribution Licences</w:t>
            </w:r>
          </w:p>
        </w:tc>
        <w:tc>
          <w:tcPr>
            <w:tcW w:w="3747" w:type="dxa"/>
            <w:shd w:val="clear" w:color="auto" w:fill="E2EFD9" w:themeFill="accent6" w:themeFillTint="33"/>
          </w:tcPr>
          <w:p w14:paraId="042782DA"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7407CC8B" w14:textId="77777777" w:rsidTr="005B462E">
        <w:tc>
          <w:tcPr>
            <w:tcW w:w="1730" w:type="dxa"/>
          </w:tcPr>
          <w:p w14:paraId="23D3F8CC"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15FC6E39" w14:textId="150707FA" w:rsidR="00F65952" w:rsidRPr="001723C9" w:rsidRDefault="00F65952" w:rsidP="00F65952">
            <w:pPr>
              <w:pStyle w:val="ColumnHeading"/>
              <w:rPr>
                <w:rFonts w:asciiTheme="minorHAnsi" w:hAnsiTheme="minorHAnsi" w:cstheme="minorHAnsi"/>
                <w:b w:val="0"/>
                <w:bCs/>
                <w:sz w:val="22"/>
                <w:szCs w:val="22"/>
              </w:rPr>
            </w:pPr>
            <w:r w:rsidRPr="00B47009">
              <w:rPr>
                <w:rFonts w:asciiTheme="minorHAnsi" w:hAnsiTheme="minorHAnsi" w:cstheme="minorHAnsi"/>
                <w:b w:val="0"/>
                <w:bCs/>
                <w:sz w:val="22"/>
                <w:szCs w:val="22"/>
              </w:rPr>
              <w:t>Non-Confidential</w:t>
            </w:r>
          </w:p>
        </w:tc>
        <w:tc>
          <w:tcPr>
            <w:tcW w:w="7040" w:type="dxa"/>
          </w:tcPr>
          <w:p w14:paraId="101D3875" w14:textId="3D768D02" w:rsidR="00F65952" w:rsidRPr="00B35D24" w:rsidRDefault="00B35D24" w:rsidP="00B35D24">
            <w:pPr>
              <w:rPr>
                <w:rFonts w:asciiTheme="minorHAnsi" w:hAnsiTheme="minorHAnsi" w:cstheme="minorHAnsi"/>
                <w:bCs/>
              </w:rPr>
            </w:pPr>
            <w:r w:rsidRPr="00B35D24">
              <w:rPr>
                <w:rFonts w:asciiTheme="minorHAnsi" w:hAnsiTheme="minorHAnsi" w:cstheme="minorHAnsi"/>
                <w:bCs/>
                <w:sz w:val="22"/>
                <w:szCs w:val="22"/>
              </w:rPr>
              <w:t>We agree with working groups view that charging group 1 and 2 are better facilitated by this change. Consumers will have a financial incentive not to exceed their agreed capacity which will assist network planning and resilience.</w:t>
            </w:r>
          </w:p>
        </w:tc>
        <w:tc>
          <w:tcPr>
            <w:tcW w:w="3747" w:type="dxa"/>
            <w:shd w:val="clear" w:color="auto" w:fill="E2EFD9" w:themeFill="accent6" w:themeFillTint="33"/>
          </w:tcPr>
          <w:p w14:paraId="4C0B9960"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7B9C716" w14:textId="77777777" w:rsidTr="005B462E">
        <w:tc>
          <w:tcPr>
            <w:tcW w:w="1730" w:type="dxa"/>
          </w:tcPr>
          <w:p w14:paraId="6A3ED413"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075AC62E" w14:textId="49C9ABEE" w:rsidR="00F65952" w:rsidRPr="001723C9" w:rsidRDefault="00F65952" w:rsidP="00F65952">
            <w:pPr>
              <w:pStyle w:val="ColumnHeading"/>
              <w:rPr>
                <w:rFonts w:asciiTheme="minorHAnsi" w:hAnsiTheme="minorHAnsi" w:cstheme="minorHAnsi"/>
                <w:b w:val="0"/>
                <w:bCs/>
                <w:sz w:val="22"/>
                <w:szCs w:val="22"/>
                <w:lang w:val="en-GB"/>
              </w:rPr>
            </w:pPr>
            <w:r w:rsidRPr="00B47009">
              <w:rPr>
                <w:rFonts w:asciiTheme="minorHAnsi" w:hAnsiTheme="minorHAnsi" w:cstheme="minorHAnsi"/>
                <w:b w:val="0"/>
                <w:bCs/>
                <w:sz w:val="22"/>
                <w:szCs w:val="22"/>
              </w:rPr>
              <w:t>Non-Confidential</w:t>
            </w:r>
          </w:p>
        </w:tc>
        <w:tc>
          <w:tcPr>
            <w:tcW w:w="7040" w:type="dxa"/>
          </w:tcPr>
          <w:p w14:paraId="40718E0E" w14:textId="00F1D050"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NGED believe that this charging proposal has a negative effect on Charging Objective 3 as it is not cost reflective.</w:t>
            </w:r>
          </w:p>
        </w:tc>
        <w:tc>
          <w:tcPr>
            <w:tcW w:w="3747" w:type="dxa"/>
            <w:shd w:val="clear" w:color="auto" w:fill="E2EFD9" w:themeFill="accent6" w:themeFillTint="33"/>
          </w:tcPr>
          <w:p w14:paraId="5F638387"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3D19CC37" w14:textId="77777777" w:rsidTr="005B462E">
        <w:tc>
          <w:tcPr>
            <w:tcW w:w="1730" w:type="dxa"/>
          </w:tcPr>
          <w:p w14:paraId="7D173FD3" w14:textId="62B79FDD"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7FF881A0" w14:textId="58D5A672" w:rsidR="00F65952" w:rsidRPr="001723C9" w:rsidRDefault="00F65952" w:rsidP="00F65952">
            <w:pPr>
              <w:pStyle w:val="ColumnHeading"/>
              <w:rPr>
                <w:rFonts w:asciiTheme="minorHAnsi" w:hAnsiTheme="minorHAnsi" w:cstheme="minorHAnsi"/>
                <w:b w:val="0"/>
                <w:bCs/>
                <w:sz w:val="22"/>
                <w:szCs w:val="22"/>
              </w:rPr>
            </w:pPr>
            <w:r w:rsidRPr="00B47009">
              <w:rPr>
                <w:rFonts w:asciiTheme="minorHAnsi" w:hAnsiTheme="minorHAnsi" w:cstheme="minorHAnsi"/>
                <w:b w:val="0"/>
                <w:bCs/>
                <w:sz w:val="22"/>
                <w:szCs w:val="22"/>
              </w:rPr>
              <w:t>Non-Confidential</w:t>
            </w:r>
          </w:p>
        </w:tc>
        <w:tc>
          <w:tcPr>
            <w:tcW w:w="7040" w:type="dxa"/>
          </w:tcPr>
          <w:p w14:paraId="7B91E09D" w14:textId="7D1623EE"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We are unable to make an assessment at this as there are multiple solutions proposed and there are still questions on the scope of the solution.</w:t>
            </w:r>
          </w:p>
        </w:tc>
        <w:tc>
          <w:tcPr>
            <w:tcW w:w="3747" w:type="dxa"/>
            <w:shd w:val="clear" w:color="auto" w:fill="E2EFD9" w:themeFill="accent6" w:themeFillTint="33"/>
          </w:tcPr>
          <w:p w14:paraId="2662F33A"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B6C88D3" w14:textId="77777777" w:rsidTr="005B462E">
        <w:tc>
          <w:tcPr>
            <w:tcW w:w="1730" w:type="dxa"/>
          </w:tcPr>
          <w:p w14:paraId="21BC3326"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C02F220" w14:textId="175F4D37" w:rsidR="00F65952" w:rsidRPr="001723C9" w:rsidRDefault="00F65952" w:rsidP="00F65952">
            <w:pPr>
              <w:pStyle w:val="ColumnHeading"/>
              <w:rPr>
                <w:rFonts w:asciiTheme="minorHAnsi" w:hAnsiTheme="minorHAnsi" w:cstheme="minorHAnsi"/>
                <w:b w:val="0"/>
                <w:bCs/>
                <w:sz w:val="22"/>
                <w:szCs w:val="22"/>
              </w:rPr>
            </w:pPr>
            <w:r w:rsidRPr="00B47009">
              <w:rPr>
                <w:rFonts w:asciiTheme="minorHAnsi" w:hAnsiTheme="minorHAnsi" w:cstheme="minorHAnsi"/>
                <w:b w:val="0"/>
                <w:bCs/>
                <w:sz w:val="22"/>
                <w:szCs w:val="22"/>
              </w:rPr>
              <w:t>Non-Confidential</w:t>
            </w:r>
          </w:p>
        </w:tc>
        <w:tc>
          <w:tcPr>
            <w:tcW w:w="7040" w:type="dxa"/>
          </w:tcPr>
          <w:p w14:paraId="280F8DBE" w14:textId="6DFAC0C5"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Both proposals facilitate the General Objectives, but we believe the Alternative Proposal facilitates an equitable share of costs, sends a strong cost signal to deter poor behaviour and doesn’t lock capacity making it available to other or new users without the potential need to meet network reinforcement costs.</w:t>
            </w:r>
          </w:p>
        </w:tc>
        <w:tc>
          <w:tcPr>
            <w:tcW w:w="3747" w:type="dxa"/>
            <w:shd w:val="clear" w:color="auto" w:fill="E2EFD9" w:themeFill="accent6" w:themeFillTint="33"/>
          </w:tcPr>
          <w:p w14:paraId="77BD7CE0"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56A6962E" w14:textId="77777777" w:rsidTr="005B462E">
        <w:tc>
          <w:tcPr>
            <w:tcW w:w="1730" w:type="dxa"/>
          </w:tcPr>
          <w:p w14:paraId="79CA2357" w14:textId="19368CED"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5ABABC9C" w14:textId="5CC930DE" w:rsidR="00846BC9" w:rsidRPr="00B47009"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48E29E30" w14:textId="17D33B87" w:rsidR="00846BC9" w:rsidRPr="00DB770B" w:rsidRDefault="00BB00BF" w:rsidP="00846BC9">
            <w:pPr>
              <w:pStyle w:val="ColumnHeading"/>
              <w:rPr>
                <w:rFonts w:asciiTheme="minorHAnsi" w:hAnsiTheme="minorHAnsi" w:cstheme="minorHAnsi"/>
                <w:b w:val="0"/>
                <w:bCs/>
                <w:sz w:val="22"/>
                <w:szCs w:val="22"/>
              </w:rPr>
            </w:pPr>
            <w:r w:rsidRPr="00BB00BF">
              <w:rPr>
                <w:rFonts w:asciiTheme="minorHAnsi" w:hAnsiTheme="minorHAnsi" w:cstheme="minorHAnsi"/>
                <w:b w:val="0"/>
                <w:bCs/>
                <w:sz w:val="22"/>
                <w:szCs w:val="22"/>
                <w:lang w:val="en-GB"/>
              </w:rPr>
              <w:t>As the consultation has alluded to, DNOs have applied different methods for charging excess capacity. Therefore, should this change be agreed, we believe Charging Objective 2 would be better facilitated as this would provide a consistent approach.</w:t>
            </w:r>
          </w:p>
        </w:tc>
        <w:tc>
          <w:tcPr>
            <w:tcW w:w="3747" w:type="dxa"/>
            <w:shd w:val="clear" w:color="auto" w:fill="E2EFD9" w:themeFill="accent6" w:themeFillTint="33"/>
          </w:tcPr>
          <w:p w14:paraId="38DB786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C7D8C90" w14:textId="77777777" w:rsidTr="005B462E">
        <w:tc>
          <w:tcPr>
            <w:tcW w:w="1730" w:type="dxa"/>
          </w:tcPr>
          <w:p w14:paraId="3E1DF60F" w14:textId="2D64AD82"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1E756A2E" w14:textId="0A612D8B" w:rsidR="00846BC9" w:rsidRPr="00B47009"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8B90143" w14:textId="77777777" w:rsidR="00AC1944" w:rsidRDefault="00AC1944" w:rsidP="00846BC9">
            <w:pPr>
              <w:pStyle w:val="ColumnHeading"/>
              <w:rPr>
                <w:rFonts w:asciiTheme="minorHAnsi" w:hAnsiTheme="minorHAnsi" w:cstheme="minorHAnsi"/>
                <w:b w:val="0"/>
                <w:bCs/>
                <w:sz w:val="22"/>
                <w:szCs w:val="22"/>
                <w:lang w:val="en-GB"/>
              </w:rPr>
            </w:pPr>
            <w:r w:rsidRPr="00AC1944">
              <w:rPr>
                <w:rFonts w:asciiTheme="minorHAnsi" w:hAnsiTheme="minorHAnsi" w:cstheme="minorHAnsi"/>
                <w:b w:val="0"/>
                <w:bCs/>
                <w:sz w:val="22"/>
                <w:szCs w:val="22"/>
                <w:lang w:val="en-GB"/>
              </w:rPr>
              <w:t xml:space="preserve">We note that it is the Charging Objectives rather than the General Objectives which should be reviewed for this proposal. </w:t>
            </w:r>
          </w:p>
          <w:p w14:paraId="7FA3FF4B" w14:textId="77777777" w:rsidR="00AC1944" w:rsidRDefault="00AC1944" w:rsidP="00846BC9">
            <w:pPr>
              <w:pStyle w:val="ColumnHeading"/>
              <w:rPr>
                <w:rFonts w:asciiTheme="minorHAnsi" w:hAnsiTheme="minorHAnsi" w:cstheme="minorHAnsi"/>
                <w:b w:val="0"/>
                <w:bCs/>
                <w:sz w:val="22"/>
                <w:szCs w:val="22"/>
                <w:lang w:val="en-GB"/>
              </w:rPr>
            </w:pPr>
          </w:p>
          <w:p w14:paraId="19771A30" w14:textId="3C721532" w:rsidR="00846BC9" w:rsidRPr="00DB770B"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Objective 2 – facilitation of competition We consider that the proposal may have a positive impact in that it creates a more level playing field between demand users who increase their capacity, and those who don’t. This can matter in the context of fair competition for demand side response contracts.</w:t>
            </w:r>
          </w:p>
        </w:tc>
        <w:tc>
          <w:tcPr>
            <w:tcW w:w="3747" w:type="dxa"/>
            <w:shd w:val="clear" w:color="auto" w:fill="E2EFD9" w:themeFill="accent6" w:themeFillTint="33"/>
          </w:tcPr>
          <w:p w14:paraId="0934751D"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09D5D0AE" w14:textId="77777777" w:rsidTr="005B462E">
        <w:tc>
          <w:tcPr>
            <w:tcW w:w="1730" w:type="dxa"/>
          </w:tcPr>
          <w:p w14:paraId="4DC9CC69"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51B3B61B" w14:textId="3E21FCBD" w:rsidR="00846BC9" w:rsidRPr="001723C9" w:rsidRDefault="00846BC9" w:rsidP="00846BC9">
            <w:pPr>
              <w:pStyle w:val="ColumnHeading"/>
              <w:rPr>
                <w:rFonts w:asciiTheme="minorHAnsi" w:hAnsiTheme="minorHAnsi" w:cstheme="minorHAnsi"/>
                <w:b w:val="0"/>
                <w:bCs/>
                <w:sz w:val="22"/>
                <w:szCs w:val="22"/>
              </w:rPr>
            </w:pPr>
            <w:r w:rsidRPr="00B47009">
              <w:rPr>
                <w:rFonts w:asciiTheme="minorHAnsi" w:hAnsiTheme="minorHAnsi" w:cstheme="minorHAnsi"/>
                <w:b w:val="0"/>
                <w:bCs/>
                <w:sz w:val="22"/>
                <w:szCs w:val="22"/>
              </w:rPr>
              <w:t>Non-Confidential</w:t>
            </w:r>
          </w:p>
        </w:tc>
        <w:tc>
          <w:tcPr>
            <w:tcW w:w="7040" w:type="dxa"/>
          </w:tcPr>
          <w:p w14:paraId="765DFB1A" w14:textId="34721638" w:rsidR="00846BC9" w:rsidRPr="00DE2A65" w:rsidRDefault="00846BC9" w:rsidP="00846BC9">
            <w:pPr>
              <w:pStyle w:val="ColumnHeading"/>
              <w:rPr>
                <w:rFonts w:asciiTheme="minorHAnsi" w:hAnsiTheme="minorHAnsi" w:cstheme="minorHAnsi"/>
                <w:b w:val="0"/>
                <w:bCs/>
                <w:sz w:val="22"/>
                <w:szCs w:val="22"/>
                <w:lang w:val="en-GB"/>
              </w:rPr>
            </w:pPr>
            <w:proofErr w:type="gramStart"/>
            <w:r w:rsidRPr="00DB770B">
              <w:rPr>
                <w:rFonts w:asciiTheme="minorHAnsi" w:hAnsiTheme="minorHAnsi" w:cstheme="minorHAnsi"/>
                <w:b w:val="0"/>
                <w:bCs/>
                <w:sz w:val="22"/>
                <w:szCs w:val="22"/>
                <w:lang w:val="en-GB"/>
              </w:rPr>
              <w:t>Yes</w:t>
            </w:r>
            <w:proofErr w:type="gramEnd"/>
            <w:r w:rsidRPr="00DB770B">
              <w:rPr>
                <w:rFonts w:asciiTheme="minorHAnsi" w:hAnsiTheme="minorHAnsi" w:cstheme="minorHAnsi"/>
                <w:b w:val="0"/>
                <w:bCs/>
                <w:sz w:val="22"/>
                <w:szCs w:val="22"/>
                <w:lang w:val="en-GB"/>
              </w:rPr>
              <w:t xml:space="preserve"> this would better facilitate objective 1 as preventing ‘irrational’ behaviour would increase the efficiency of the process.</w:t>
            </w:r>
          </w:p>
        </w:tc>
        <w:tc>
          <w:tcPr>
            <w:tcW w:w="3747" w:type="dxa"/>
            <w:shd w:val="clear" w:color="auto" w:fill="E2EFD9" w:themeFill="accent6" w:themeFillTint="33"/>
          </w:tcPr>
          <w:p w14:paraId="0E7717B9"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0ECBB2CB" w14:textId="77777777" w:rsidTr="005B462E">
        <w:tc>
          <w:tcPr>
            <w:tcW w:w="1730" w:type="dxa"/>
          </w:tcPr>
          <w:p w14:paraId="6AB346BA"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7AAD2B27" w14:textId="38E9BC9F" w:rsidR="00846BC9" w:rsidRPr="001723C9" w:rsidRDefault="00846BC9" w:rsidP="00846BC9">
            <w:pPr>
              <w:pStyle w:val="ColumnHeading"/>
              <w:rPr>
                <w:rFonts w:asciiTheme="minorHAnsi" w:hAnsiTheme="minorHAnsi" w:cstheme="minorHAnsi"/>
                <w:b w:val="0"/>
                <w:bCs/>
                <w:sz w:val="22"/>
                <w:szCs w:val="22"/>
              </w:rPr>
            </w:pPr>
            <w:r w:rsidRPr="00B47009">
              <w:rPr>
                <w:rFonts w:asciiTheme="minorHAnsi" w:hAnsiTheme="minorHAnsi" w:cstheme="minorHAnsi"/>
                <w:b w:val="0"/>
                <w:bCs/>
                <w:sz w:val="22"/>
                <w:szCs w:val="22"/>
              </w:rPr>
              <w:t>Non-Confidential</w:t>
            </w:r>
          </w:p>
        </w:tc>
        <w:tc>
          <w:tcPr>
            <w:tcW w:w="7040" w:type="dxa"/>
          </w:tcPr>
          <w:p w14:paraId="605D7259" w14:textId="6F01A917"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We believe that DCUSA Charging Objectives 1 is better facilitated by this change as Condition 7A of the Distribution Licence is concerned with the </w:t>
            </w:r>
            <w:r w:rsidRPr="005C7D70">
              <w:rPr>
                <w:rFonts w:asciiTheme="minorHAnsi" w:hAnsiTheme="minorHAnsi" w:cstheme="minorHAnsi"/>
                <w:b w:val="0"/>
                <w:bCs/>
                <w:sz w:val="22"/>
                <w:szCs w:val="22"/>
                <w:lang w:val="en-GB"/>
              </w:rPr>
              <w:lastRenderedPageBreak/>
              <w:t>efficient and economic operation of the total system, and DCUSA Charging Objective 2 is also better facilitated by this change as it would send a strong signal to Customers that where they exceed their capacity they will face higher charges, it would also ensure that the network is more effectively utilised.</w:t>
            </w:r>
          </w:p>
        </w:tc>
        <w:tc>
          <w:tcPr>
            <w:tcW w:w="3747" w:type="dxa"/>
            <w:shd w:val="clear" w:color="auto" w:fill="E2EFD9" w:themeFill="accent6" w:themeFillTint="33"/>
          </w:tcPr>
          <w:p w14:paraId="7BF8B1D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2E88D00" w14:textId="77777777" w:rsidTr="005B462E">
        <w:tc>
          <w:tcPr>
            <w:tcW w:w="14076" w:type="dxa"/>
            <w:gridSpan w:val="4"/>
            <w:shd w:val="clear" w:color="auto" w:fill="E2EFD9" w:themeFill="accent6" w:themeFillTint="33"/>
          </w:tcPr>
          <w:p w14:paraId="007EBC7F"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Four responders believed charging objective 2 was better facilitated.</w:t>
            </w:r>
          </w:p>
          <w:p w14:paraId="1911F69B" w14:textId="25459015"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Three stated that charging objective 1 was better facilitated.</w:t>
            </w:r>
          </w:p>
          <w:p w14:paraId="612E6110" w14:textId="47A322F5"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response said that charging objective 3 was better facilitated.</w:t>
            </w:r>
          </w:p>
          <w:p w14:paraId="4B4E9677" w14:textId="3CDA8AF3"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Another responder only mentioned that the believed the general objectives for both solutions were better facilitated and went on to note they believed the alternative  solution was better  as it applied an equitable share of costs, sends a strong cost signal to deter poor behaviour and doesn’t lock capacity making it available to other or new users without the potential need to meet network reinforcement costs.</w:t>
            </w:r>
          </w:p>
          <w:p w14:paraId="20EF27C0" w14:textId="491129C6"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believed that charging objective 3 would be negatively impacted as the solutions are not cost reflective.</w:t>
            </w:r>
          </w:p>
          <w:p w14:paraId="2EF75E47" w14:textId="5F58E785"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Finally, one responder noted that they were unable to assess the change as the solution was unknown at this time.,</w:t>
            </w:r>
          </w:p>
        </w:tc>
      </w:tr>
    </w:tbl>
    <w:p w14:paraId="694D1E25"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4FCF0C2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2A0EA93"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5253EA22"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784A074B"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4B06CC7F" w14:textId="5FBB61B9"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5EDFEE8A"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0E3D55D8" w14:textId="77777777" w:rsidTr="005B462E">
        <w:tc>
          <w:tcPr>
            <w:tcW w:w="1730" w:type="dxa"/>
          </w:tcPr>
          <w:p w14:paraId="551152AF"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149DF7B7" w14:textId="1D55C064"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0B34EFCA" w14:textId="46C5FCDE"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Potentially MHHS however subject to further review.</w:t>
            </w:r>
          </w:p>
        </w:tc>
        <w:tc>
          <w:tcPr>
            <w:tcW w:w="3747" w:type="dxa"/>
            <w:shd w:val="clear" w:color="auto" w:fill="E2EFD9" w:themeFill="accent6" w:themeFillTint="33"/>
          </w:tcPr>
          <w:p w14:paraId="08DFD6BA"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4F5D8720" w14:textId="77777777" w:rsidTr="005B462E">
        <w:tc>
          <w:tcPr>
            <w:tcW w:w="1730" w:type="dxa"/>
          </w:tcPr>
          <w:p w14:paraId="621302C1"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0E5D844D" w14:textId="38BC8648" w:rsidR="00F65952" w:rsidRPr="001723C9" w:rsidRDefault="00F65952" w:rsidP="00F65952">
            <w:pPr>
              <w:pStyle w:val="ColumnHeading"/>
              <w:rPr>
                <w:rFonts w:asciiTheme="minorHAnsi" w:hAnsiTheme="minorHAnsi" w:cstheme="minorHAnsi"/>
                <w:b w:val="0"/>
                <w:bCs/>
                <w:sz w:val="22"/>
                <w:szCs w:val="22"/>
              </w:rPr>
            </w:pPr>
            <w:r w:rsidRPr="00EC2634">
              <w:rPr>
                <w:rFonts w:asciiTheme="minorHAnsi" w:hAnsiTheme="minorHAnsi" w:cstheme="minorHAnsi"/>
                <w:b w:val="0"/>
                <w:bCs/>
                <w:sz w:val="22"/>
                <w:szCs w:val="22"/>
              </w:rPr>
              <w:t>Non-Confidential</w:t>
            </w:r>
          </w:p>
        </w:tc>
        <w:tc>
          <w:tcPr>
            <w:tcW w:w="7040" w:type="dxa"/>
          </w:tcPr>
          <w:p w14:paraId="34A93DD0" w14:textId="4148F4D4"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The working group should assess whether there are any impacts on the MHHS programme.</w:t>
            </w:r>
          </w:p>
        </w:tc>
        <w:tc>
          <w:tcPr>
            <w:tcW w:w="3747" w:type="dxa"/>
            <w:shd w:val="clear" w:color="auto" w:fill="E2EFD9" w:themeFill="accent6" w:themeFillTint="33"/>
          </w:tcPr>
          <w:p w14:paraId="5BB5251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67AE2D26" w14:textId="77777777" w:rsidTr="005B462E">
        <w:tc>
          <w:tcPr>
            <w:tcW w:w="1730" w:type="dxa"/>
          </w:tcPr>
          <w:p w14:paraId="5215BC4D"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NGED</w:t>
            </w:r>
          </w:p>
        </w:tc>
        <w:tc>
          <w:tcPr>
            <w:tcW w:w="1559" w:type="dxa"/>
          </w:tcPr>
          <w:p w14:paraId="26E5C278" w14:textId="33784735" w:rsidR="00F65952" w:rsidRPr="001723C9" w:rsidRDefault="00F65952" w:rsidP="00F65952">
            <w:pPr>
              <w:pStyle w:val="ColumnHeading"/>
              <w:rPr>
                <w:rFonts w:asciiTheme="minorHAnsi" w:hAnsiTheme="minorHAnsi" w:cstheme="minorHAnsi"/>
                <w:b w:val="0"/>
                <w:bCs/>
                <w:sz w:val="22"/>
                <w:szCs w:val="22"/>
                <w:lang w:val="en-GB"/>
              </w:rPr>
            </w:pPr>
            <w:r w:rsidRPr="00EC2634">
              <w:rPr>
                <w:rFonts w:asciiTheme="minorHAnsi" w:hAnsiTheme="minorHAnsi" w:cstheme="minorHAnsi"/>
                <w:b w:val="0"/>
                <w:bCs/>
                <w:sz w:val="22"/>
                <w:szCs w:val="22"/>
              </w:rPr>
              <w:t>Non-Confidential</w:t>
            </w:r>
          </w:p>
        </w:tc>
        <w:tc>
          <w:tcPr>
            <w:tcW w:w="7040" w:type="dxa"/>
          </w:tcPr>
          <w:p w14:paraId="57625008" w14:textId="739894DC"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 xml:space="preserve">The </w:t>
            </w:r>
            <w:proofErr w:type="spellStart"/>
            <w:r w:rsidRPr="00B35D24">
              <w:rPr>
                <w:rFonts w:asciiTheme="minorHAnsi" w:hAnsiTheme="minorHAnsi" w:cstheme="minorHAnsi"/>
                <w:b w:val="0"/>
                <w:bCs/>
                <w:sz w:val="22"/>
                <w:szCs w:val="22"/>
                <w:lang w:val="en-GB"/>
              </w:rPr>
              <w:t>DUoS</w:t>
            </w:r>
            <w:proofErr w:type="spellEnd"/>
            <w:r w:rsidRPr="00B35D24">
              <w:rPr>
                <w:rFonts w:asciiTheme="minorHAnsi" w:hAnsiTheme="minorHAnsi" w:cstheme="minorHAnsi"/>
                <w:b w:val="0"/>
                <w:bCs/>
                <w:sz w:val="22"/>
                <w:szCs w:val="22"/>
                <w:lang w:val="en-GB"/>
              </w:rPr>
              <w:t xml:space="preserve"> SCR could impact upon the CP</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71A525F5"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39223144" w14:textId="77777777" w:rsidTr="005B462E">
        <w:tc>
          <w:tcPr>
            <w:tcW w:w="1730" w:type="dxa"/>
          </w:tcPr>
          <w:p w14:paraId="20070278" w14:textId="017F882A"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47F66C24" w14:textId="285087EF" w:rsidR="00F65952" w:rsidRPr="001723C9" w:rsidRDefault="00F65952" w:rsidP="00F65952">
            <w:pPr>
              <w:pStyle w:val="ColumnHeading"/>
              <w:rPr>
                <w:rFonts w:asciiTheme="minorHAnsi" w:hAnsiTheme="minorHAnsi" w:cstheme="minorHAnsi"/>
                <w:b w:val="0"/>
                <w:bCs/>
                <w:sz w:val="22"/>
                <w:szCs w:val="22"/>
              </w:rPr>
            </w:pPr>
            <w:r w:rsidRPr="00EC2634">
              <w:rPr>
                <w:rFonts w:asciiTheme="minorHAnsi" w:hAnsiTheme="minorHAnsi" w:cstheme="minorHAnsi"/>
                <w:b w:val="0"/>
                <w:bCs/>
                <w:sz w:val="22"/>
                <w:szCs w:val="22"/>
              </w:rPr>
              <w:t>Non-Confidential</w:t>
            </w:r>
          </w:p>
        </w:tc>
        <w:tc>
          <w:tcPr>
            <w:tcW w:w="7040" w:type="dxa"/>
          </w:tcPr>
          <w:p w14:paraId="539F83E8" w14:textId="096B47A6"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None other than the </w:t>
            </w:r>
            <w:proofErr w:type="spellStart"/>
            <w:r w:rsidRPr="00023295">
              <w:rPr>
                <w:rFonts w:asciiTheme="minorHAnsi" w:hAnsiTheme="minorHAnsi" w:cstheme="minorHAnsi"/>
                <w:b w:val="0"/>
                <w:sz w:val="22"/>
                <w:szCs w:val="22"/>
                <w:lang w:val="en-GB"/>
              </w:rPr>
              <w:t>DUoS</w:t>
            </w:r>
            <w:proofErr w:type="spellEnd"/>
            <w:r w:rsidRPr="00023295">
              <w:rPr>
                <w:rFonts w:asciiTheme="minorHAnsi" w:hAnsiTheme="minorHAnsi" w:cstheme="minorHAnsi"/>
                <w:b w:val="0"/>
                <w:sz w:val="22"/>
                <w:szCs w:val="22"/>
                <w:lang w:val="en-GB"/>
              </w:rPr>
              <w:t xml:space="preserve"> SCR.</w:t>
            </w:r>
          </w:p>
        </w:tc>
        <w:tc>
          <w:tcPr>
            <w:tcW w:w="3747" w:type="dxa"/>
            <w:shd w:val="clear" w:color="auto" w:fill="E2EFD9" w:themeFill="accent6" w:themeFillTint="33"/>
          </w:tcPr>
          <w:p w14:paraId="29944B87"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3134059" w14:textId="77777777" w:rsidTr="005B462E">
        <w:tc>
          <w:tcPr>
            <w:tcW w:w="1730" w:type="dxa"/>
          </w:tcPr>
          <w:p w14:paraId="6FC8D285"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064129D6" w14:textId="347BA0D6" w:rsidR="00F65952" w:rsidRPr="001723C9" w:rsidRDefault="00F65952" w:rsidP="00F65952">
            <w:pPr>
              <w:pStyle w:val="ColumnHeading"/>
              <w:rPr>
                <w:rFonts w:asciiTheme="minorHAnsi" w:hAnsiTheme="minorHAnsi" w:cstheme="minorHAnsi"/>
                <w:b w:val="0"/>
                <w:bCs/>
                <w:sz w:val="22"/>
                <w:szCs w:val="22"/>
              </w:rPr>
            </w:pPr>
            <w:r w:rsidRPr="00EC2634">
              <w:rPr>
                <w:rFonts w:asciiTheme="minorHAnsi" w:hAnsiTheme="minorHAnsi" w:cstheme="minorHAnsi"/>
                <w:b w:val="0"/>
                <w:bCs/>
                <w:sz w:val="22"/>
                <w:szCs w:val="22"/>
              </w:rPr>
              <w:t>Non-Confidential</w:t>
            </w:r>
          </w:p>
        </w:tc>
        <w:tc>
          <w:tcPr>
            <w:tcW w:w="7040" w:type="dxa"/>
          </w:tcPr>
          <w:p w14:paraId="0CEEB16A" w14:textId="2797ECE5" w:rsidR="00F65952" w:rsidRPr="0093655A" w:rsidRDefault="00DB770B"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No.</w:t>
            </w:r>
          </w:p>
        </w:tc>
        <w:tc>
          <w:tcPr>
            <w:tcW w:w="3747" w:type="dxa"/>
            <w:shd w:val="clear" w:color="auto" w:fill="E2EFD9" w:themeFill="accent6" w:themeFillTint="33"/>
          </w:tcPr>
          <w:p w14:paraId="3C18EB9A"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1D396D2A" w14:textId="77777777" w:rsidTr="005B462E">
        <w:tc>
          <w:tcPr>
            <w:tcW w:w="1730" w:type="dxa"/>
          </w:tcPr>
          <w:p w14:paraId="3D3B78C0" w14:textId="7651989B"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2D942D1A" w14:textId="33587A01" w:rsidR="00846BC9" w:rsidRPr="00EC2634"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2892FFA2" w14:textId="32F133B3" w:rsidR="00846BC9"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 xml:space="preserve">Not </w:t>
            </w:r>
            <w:proofErr w:type="gramStart"/>
            <w:r w:rsidRPr="00AC1944">
              <w:rPr>
                <w:rFonts w:asciiTheme="minorHAnsi" w:hAnsiTheme="minorHAnsi" w:cstheme="minorHAnsi"/>
                <w:b w:val="0"/>
                <w:bCs/>
                <w:sz w:val="22"/>
                <w:szCs w:val="22"/>
                <w:lang w:val="en-GB"/>
              </w:rPr>
              <w:t>at this time</w:t>
            </w:r>
            <w:proofErr w:type="gramEnd"/>
          </w:p>
        </w:tc>
        <w:tc>
          <w:tcPr>
            <w:tcW w:w="3747" w:type="dxa"/>
            <w:shd w:val="clear" w:color="auto" w:fill="E2EFD9" w:themeFill="accent6" w:themeFillTint="33"/>
          </w:tcPr>
          <w:p w14:paraId="2A65C4BE"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F110071" w14:textId="77777777" w:rsidTr="005B462E">
        <w:tc>
          <w:tcPr>
            <w:tcW w:w="1730" w:type="dxa"/>
          </w:tcPr>
          <w:p w14:paraId="7CED2244" w14:textId="644D506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304880B7" w14:textId="051269AC" w:rsidR="00846BC9" w:rsidRPr="00EC2634"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687EC99D" w14:textId="40764224" w:rsidR="00846BC9"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 xml:space="preserve">Whilst we think that the issue identified in this proposal should be addressed now, we consider that other, potentially more cost-reflective solutions for exceeded capacity charges should be explored via Ofgem’s </w:t>
            </w:r>
            <w:proofErr w:type="spellStart"/>
            <w:r w:rsidRPr="00AC1944">
              <w:rPr>
                <w:rFonts w:asciiTheme="minorHAnsi" w:hAnsiTheme="minorHAnsi" w:cstheme="minorHAnsi"/>
                <w:b w:val="0"/>
                <w:bCs/>
                <w:sz w:val="22"/>
                <w:szCs w:val="22"/>
                <w:lang w:val="en-GB"/>
              </w:rPr>
              <w:t>DUoS</w:t>
            </w:r>
            <w:proofErr w:type="spellEnd"/>
            <w:r w:rsidRPr="00AC1944">
              <w:rPr>
                <w:rFonts w:asciiTheme="minorHAnsi" w:hAnsiTheme="minorHAnsi" w:cstheme="minorHAnsi"/>
                <w:b w:val="0"/>
                <w:bCs/>
                <w:sz w:val="22"/>
                <w:szCs w:val="22"/>
                <w:lang w:val="en-GB"/>
              </w:rPr>
              <w:t xml:space="preserve"> SCR (timelines tbc).</w:t>
            </w:r>
          </w:p>
        </w:tc>
        <w:tc>
          <w:tcPr>
            <w:tcW w:w="3747" w:type="dxa"/>
            <w:shd w:val="clear" w:color="auto" w:fill="E2EFD9" w:themeFill="accent6" w:themeFillTint="33"/>
          </w:tcPr>
          <w:p w14:paraId="630983C5"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9EC449E" w14:textId="77777777" w:rsidTr="005B462E">
        <w:tc>
          <w:tcPr>
            <w:tcW w:w="1730" w:type="dxa"/>
          </w:tcPr>
          <w:p w14:paraId="34986229"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54FA91D7" w14:textId="05D5F063" w:rsidR="00846BC9" w:rsidRPr="001723C9" w:rsidRDefault="00846BC9" w:rsidP="00846BC9">
            <w:pPr>
              <w:pStyle w:val="ColumnHeading"/>
              <w:rPr>
                <w:rFonts w:asciiTheme="minorHAnsi" w:hAnsiTheme="minorHAnsi" w:cstheme="minorHAnsi"/>
                <w:b w:val="0"/>
                <w:bCs/>
                <w:sz w:val="22"/>
                <w:szCs w:val="22"/>
              </w:rPr>
            </w:pPr>
            <w:r w:rsidRPr="00EC2634">
              <w:rPr>
                <w:rFonts w:asciiTheme="minorHAnsi" w:hAnsiTheme="minorHAnsi" w:cstheme="minorHAnsi"/>
                <w:b w:val="0"/>
                <w:bCs/>
                <w:sz w:val="22"/>
                <w:szCs w:val="22"/>
              </w:rPr>
              <w:t>Non-Confidential</w:t>
            </w:r>
          </w:p>
        </w:tc>
        <w:tc>
          <w:tcPr>
            <w:tcW w:w="7040" w:type="dxa"/>
          </w:tcPr>
          <w:p w14:paraId="2BB9C1DE" w14:textId="4834031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104F368C"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C7CDD42" w14:textId="77777777" w:rsidTr="005B462E">
        <w:tc>
          <w:tcPr>
            <w:tcW w:w="1730" w:type="dxa"/>
          </w:tcPr>
          <w:p w14:paraId="08113E3D"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188D5FA9" w14:textId="7B73B3BE" w:rsidR="00846BC9" w:rsidRPr="001723C9" w:rsidRDefault="00846BC9" w:rsidP="00846BC9">
            <w:pPr>
              <w:pStyle w:val="ColumnHeading"/>
              <w:rPr>
                <w:rFonts w:asciiTheme="minorHAnsi" w:hAnsiTheme="minorHAnsi" w:cstheme="minorHAnsi"/>
                <w:b w:val="0"/>
                <w:bCs/>
                <w:sz w:val="22"/>
                <w:szCs w:val="22"/>
              </w:rPr>
            </w:pPr>
            <w:r w:rsidRPr="00EC2634">
              <w:rPr>
                <w:rFonts w:asciiTheme="minorHAnsi" w:hAnsiTheme="minorHAnsi" w:cstheme="minorHAnsi"/>
                <w:b w:val="0"/>
                <w:bCs/>
                <w:sz w:val="22"/>
                <w:szCs w:val="22"/>
              </w:rPr>
              <w:t>Non-Confidential</w:t>
            </w:r>
          </w:p>
        </w:tc>
        <w:tc>
          <w:tcPr>
            <w:tcW w:w="7040" w:type="dxa"/>
          </w:tcPr>
          <w:p w14:paraId="029BA466" w14:textId="270232BE"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27FE93E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108BDA4" w14:textId="77777777" w:rsidTr="005B462E">
        <w:tc>
          <w:tcPr>
            <w:tcW w:w="14076" w:type="dxa"/>
            <w:gridSpan w:val="4"/>
            <w:shd w:val="clear" w:color="auto" w:fill="E2EFD9" w:themeFill="accent6" w:themeFillTint="33"/>
          </w:tcPr>
          <w:p w14:paraId="1704DFC1" w14:textId="2C4EE835" w:rsidR="00846BC9" w:rsidRPr="001723C9" w:rsidRDefault="00846BC9" w:rsidP="00846BC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 xml:space="preserve">It was noted that the </w:t>
            </w:r>
            <w:proofErr w:type="spellStart"/>
            <w:r w:rsidR="006158DE" w:rsidRPr="006158DE">
              <w:rPr>
                <w:rFonts w:asciiTheme="minorHAnsi" w:hAnsiTheme="minorHAnsi" w:cstheme="minorHAnsi"/>
                <w:bCs/>
                <w:sz w:val="22"/>
                <w:szCs w:val="22"/>
                <w:lang w:val="en-GB"/>
              </w:rPr>
              <w:t>DUoS</w:t>
            </w:r>
            <w:proofErr w:type="spellEnd"/>
            <w:r w:rsidR="006158DE" w:rsidRPr="006158DE">
              <w:rPr>
                <w:rFonts w:asciiTheme="minorHAnsi" w:hAnsiTheme="minorHAnsi" w:cstheme="minorHAnsi"/>
                <w:bCs/>
                <w:sz w:val="22"/>
                <w:szCs w:val="22"/>
                <w:lang w:val="en-GB"/>
              </w:rPr>
              <w:t xml:space="preserve"> SCRs and MHHS programmes may be impacted by this change.</w:t>
            </w:r>
          </w:p>
        </w:tc>
      </w:tr>
    </w:tbl>
    <w:p w14:paraId="75268A9F"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56F7D09"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10B749"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1F545F9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02E3BED5"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Anonymous</w:t>
            </w:r>
          </w:p>
        </w:tc>
        <w:tc>
          <w:tcPr>
            <w:tcW w:w="7040" w:type="dxa"/>
            <w:shd w:val="clear" w:color="auto" w:fill="E2EFD9" w:themeFill="accent6" w:themeFillTint="33"/>
          </w:tcPr>
          <w:p w14:paraId="761CB3D6" w14:textId="65AD640D"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lastRenderedPageBreak/>
              <w:t>Are you supportive of the proposal’s implementation date?</w:t>
            </w:r>
          </w:p>
        </w:tc>
        <w:tc>
          <w:tcPr>
            <w:tcW w:w="3747" w:type="dxa"/>
            <w:shd w:val="clear" w:color="auto" w:fill="E2EFD9" w:themeFill="accent6" w:themeFillTint="33"/>
          </w:tcPr>
          <w:p w14:paraId="462C1D5E"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20F69FFE" w14:textId="77777777" w:rsidTr="005B462E">
        <w:tc>
          <w:tcPr>
            <w:tcW w:w="1730" w:type="dxa"/>
          </w:tcPr>
          <w:p w14:paraId="411C8C99"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7F4AAA9C" w14:textId="3E8D01D1"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6E802B7D" w14:textId="014F560D"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6114E53"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3BD09B3B" w14:textId="77777777" w:rsidTr="005B462E">
        <w:tc>
          <w:tcPr>
            <w:tcW w:w="1730" w:type="dxa"/>
          </w:tcPr>
          <w:p w14:paraId="3064A4F2"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018B14E" w14:textId="04B39217" w:rsidR="00F65952" w:rsidRPr="001723C9" w:rsidRDefault="00F65952" w:rsidP="00F65952">
            <w:pPr>
              <w:pStyle w:val="ColumnHeading"/>
              <w:rPr>
                <w:rFonts w:asciiTheme="minorHAnsi" w:hAnsiTheme="minorHAnsi" w:cstheme="minorHAnsi"/>
                <w:b w:val="0"/>
                <w:bCs/>
                <w:sz w:val="22"/>
                <w:szCs w:val="22"/>
              </w:rPr>
            </w:pPr>
            <w:r w:rsidRPr="00D767B7">
              <w:rPr>
                <w:rFonts w:asciiTheme="minorHAnsi" w:hAnsiTheme="minorHAnsi" w:cstheme="minorHAnsi"/>
                <w:b w:val="0"/>
                <w:bCs/>
                <w:sz w:val="22"/>
                <w:szCs w:val="22"/>
              </w:rPr>
              <w:t>Non-Confidential</w:t>
            </w:r>
          </w:p>
        </w:tc>
        <w:tc>
          <w:tcPr>
            <w:tcW w:w="7040" w:type="dxa"/>
          </w:tcPr>
          <w:p w14:paraId="6E56CB8F" w14:textId="2B126FFA" w:rsidR="00F65952" w:rsidRPr="001E2633" w:rsidRDefault="00B35D24" w:rsidP="00F65952">
            <w:pPr>
              <w:pStyle w:val="ColumnHeading"/>
              <w:rPr>
                <w:rFonts w:asciiTheme="minorHAnsi" w:hAnsiTheme="minorHAnsi" w:cstheme="minorHAnsi"/>
                <w:b w:val="0"/>
                <w:bCs/>
                <w:sz w:val="22"/>
                <w:szCs w:val="22"/>
                <w:lang w:val="en-GB"/>
              </w:rPr>
            </w:pPr>
            <w:proofErr w:type="gramStart"/>
            <w:r w:rsidRPr="00B35D24">
              <w:rPr>
                <w:rFonts w:asciiTheme="minorHAnsi" w:hAnsiTheme="minorHAnsi" w:cstheme="minorHAnsi"/>
                <w:b w:val="0"/>
                <w:bCs/>
                <w:sz w:val="22"/>
                <w:szCs w:val="22"/>
                <w:lang w:val="en-GB"/>
              </w:rPr>
              <w:t>Yes</w:t>
            </w:r>
            <w:proofErr w:type="gramEnd"/>
            <w:r w:rsidRPr="00B35D24">
              <w:rPr>
                <w:rFonts w:asciiTheme="minorHAnsi" w:hAnsiTheme="minorHAnsi" w:cstheme="minorHAnsi"/>
                <w:b w:val="0"/>
                <w:bCs/>
                <w:sz w:val="22"/>
                <w:szCs w:val="22"/>
                <w:lang w:val="en-GB"/>
              </w:rPr>
              <w:t xml:space="preserve"> we support proposed implementation date of April 2026</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12CC1F1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54DF46EC" w14:textId="77777777" w:rsidTr="005B462E">
        <w:tc>
          <w:tcPr>
            <w:tcW w:w="1730" w:type="dxa"/>
          </w:tcPr>
          <w:p w14:paraId="4CDFE7EC"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44D11922" w14:textId="77F825B6" w:rsidR="00F65952" w:rsidRPr="001723C9" w:rsidRDefault="00F65952" w:rsidP="00F65952">
            <w:pPr>
              <w:pStyle w:val="ColumnHeading"/>
              <w:rPr>
                <w:rFonts w:asciiTheme="minorHAnsi" w:hAnsiTheme="minorHAnsi" w:cstheme="minorHAnsi"/>
                <w:b w:val="0"/>
                <w:bCs/>
                <w:sz w:val="22"/>
                <w:szCs w:val="22"/>
                <w:lang w:val="en-GB"/>
              </w:rPr>
            </w:pPr>
            <w:r w:rsidRPr="00D767B7">
              <w:rPr>
                <w:rFonts w:asciiTheme="minorHAnsi" w:hAnsiTheme="minorHAnsi" w:cstheme="minorHAnsi"/>
                <w:b w:val="0"/>
                <w:bCs/>
                <w:sz w:val="22"/>
                <w:szCs w:val="22"/>
              </w:rPr>
              <w:t>Non-Confidential</w:t>
            </w:r>
          </w:p>
        </w:tc>
        <w:tc>
          <w:tcPr>
            <w:tcW w:w="7040" w:type="dxa"/>
          </w:tcPr>
          <w:p w14:paraId="24BE035F" w14:textId="28E8601E" w:rsidR="00F65952" w:rsidRPr="00B35D24" w:rsidRDefault="00B35D24" w:rsidP="00B35D24">
            <w:pPr>
              <w:rPr>
                <w:rFonts w:asciiTheme="minorHAnsi" w:hAnsiTheme="minorHAnsi" w:cstheme="minorHAnsi"/>
                <w:bCs/>
              </w:rPr>
            </w:pPr>
            <w:r w:rsidRPr="00B35D24">
              <w:rPr>
                <w:rFonts w:asciiTheme="minorHAnsi" w:hAnsiTheme="minorHAnsi" w:cstheme="minorHAnsi"/>
                <w:bCs/>
                <w:sz w:val="22"/>
                <w:szCs w:val="22"/>
              </w:rPr>
              <w:t>NGED believe that 1st April 2026 seems not possible for the doubling but possible for the 12 month if you had a derogation to change the statement wording.</w:t>
            </w:r>
          </w:p>
        </w:tc>
        <w:tc>
          <w:tcPr>
            <w:tcW w:w="3747" w:type="dxa"/>
            <w:shd w:val="clear" w:color="auto" w:fill="E2EFD9" w:themeFill="accent6" w:themeFillTint="33"/>
          </w:tcPr>
          <w:p w14:paraId="28941B12"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7F1F7058" w14:textId="77777777" w:rsidTr="005B462E">
        <w:tc>
          <w:tcPr>
            <w:tcW w:w="1730" w:type="dxa"/>
          </w:tcPr>
          <w:p w14:paraId="14B0AD38" w14:textId="0CB7E9B8"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58F1FCE2" w14:textId="05CBC183" w:rsidR="00F65952" w:rsidRPr="001723C9" w:rsidRDefault="00F65952" w:rsidP="00F65952">
            <w:pPr>
              <w:pStyle w:val="ColumnHeading"/>
              <w:rPr>
                <w:rFonts w:asciiTheme="minorHAnsi" w:hAnsiTheme="minorHAnsi" w:cstheme="minorHAnsi"/>
                <w:b w:val="0"/>
                <w:bCs/>
                <w:sz w:val="22"/>
                <w:szCs w:val="22"/>
              </w:rPr>
            </w:pPr>
            <w:r w:rsidRPr="00D767B7">
              <w:rPr>
                <w:rFonts w:asciiTheme="minorHAnsi" w:hAnsiTheme="minorHAnsi" w:cstheme="minorHAnsi"/>
                <w:b w:val="0"/>
                <w:bCs/>
                <w:sz w:val="22"/>
                <w:szCs w:val="22"/>
              </w:rPr>
              <w:t>Non-Confidential</w:t>
            </w:r>
          </w:p>
        </w:tc>
        <w:tc>
          <w:tcPr>
            <w:tcW w:w="7040" w:type="dxa"/>
          </w:tcPr>
          <w:p w14:paraId="5208EAFB"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The proposed implementation date of 1 April 2026 would not be achievable without a derogation to charges since 2026/27 tariffs will be published in December 2024. </w:t>
            </w:r>
          </w:p>
          <w:p w14:paraId="2975F17A" w14:textId="77777777" w:rsidR="00023295" w:rsidRPr="00023295" w:rsidRDefault="00023295" w:rsidP="00023295">
            <w:pPr>
              <w:rPr>
                <w:lang w:val="en-GB"/>
              </w:rPr>
            </w:pPr>
          </w:p>
          <w:p w14:paraId="567F4523" w14:textId="3B2B744E"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The system changes that would be required for the </w:t>
            </w:r>
            <w:proofErr w:type="gramStart"/>
            <w:r w:rsidRPr="00023295">
              <w:rPr>
                <w:rFonts w:asciiTheme="minorHAnsi" w:hAnsiTheme="minorHAnsi" w:cstheme="minorHAnsi"/>
                <w:b w:val="0"/>
                <w:sz w:val="22"/>
                <w:szCs w:val="22"/>
                <w:lang w:val="en-GB"/>
              </w:rPr>
              <w:t>12 month</w:t>
            </w:r>
            <w:proofErr w:type="gramEnd"/>
            <w:r w:rsidRPr="00023295">
              <w:rPr>
                <w:rFonts w:asciiTheme="minorHAnsi" w:hAnsiTheme="minorHAnsi" w:cstheme="minorHAnsi"/>
                <w:b w:val="0"/>
                <w:sz w:val="22"/>
                <w:szCs w:val="22"/>
                <w:lang w:val="en-GB"/>
              </w:rPr>
              <w:t xml:space="preserve"> MD solution may not be possible by April 2026 because of the implementation of MHHS which requires large changes to the billing systems meaning there may not be scope to update the billing system with other changes at the same time.</w:t>
            </w:r>
          </w:p>
        </w:tc>
        <w:tc>
          <w:tcPr>
            <w:tcW w:w="3747" w:type="dxa"/>
            <w:shd w:val="clear" w:color="auto" w:fill="E2EFD9" w:themeFill="accent6" w:themeFillTint="33"/>
          </w:tcPr>
          <w:p w14:paraId="6B8C4427"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3095F46" w14:textId="77777777" w:rsidTr="005B462E">
        <w:tc>
          <w:tcPr>
            <w:tcW w:w="1730" w:type="dxa"/>
          </w:tcPr>
          <w:p w14:paraId="7425DAA0"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B41134D" w14:textId="74CB84F2" w:rsidR="00F65952" w:rsidRPr="001723C9" w:rsidRDefault="00F65952" w:rsidP="00F65952">
            <w:pPr>
              <w:pStyle w:val="ColumnHeading"/>
              <w:rPr>
                <w:rFonts w:asciiTheme="minorHAnsi" w:hAnsiTheme="minorHAnsi" w:cstheme="minorHAnsi"/>
                <w:b w:val="0"/>
                <w:bCs/>
                <w:sz w:val="22"/>
                <w:szCs w:val="22"/>
              </w:rPr>
            </w:pPr>
            <w:r w:rsidRPr="00D767B7">
              <w:rPr>
                <w:rFonts w:asciiTheme="minorHAnsi" w:hAnsiTheme="minorHAnsi" w:cstheme="minorHAnsi"/>
                <w:b w:val="0"/>
                <w:bCs/>
                <w:sz w:val="22"/>
                <w:szCs w:val="22"/>
              </w:rPr>
              <w:t>Non-Confidential</w:t>
            </w:r>
          </w:p>
        </w:tc>
        <w:tc>
          <w:tcPr>
            <w:tcW w:w="7040" w:type="dxa"/>
          </w:tcPr>
          <w:p w14:paraId="3A8E4F75" w14:textId="5FA76287"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If the Alternative solution is adopted and “new” Excess Charge introduced the date will be driven by the date Distribution Prices have to be published i.e. 15 months prior to effective date.</w:t>
            </w:r>
          </w:p>
        </w:tc>
        <w:tc>
          <w:tcPr>
            <w:tcW w:w="3747" w:type="dxa"/>
            <w:shd w:val="clear" w:color="auto" w:fill="E2EFD9" w:themeFill="accent6" w:themeFillTint="33"/>
          </w:tcPr>
          <w:p w14:paraId="008B174C"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381117D9" w14:textId="77777777" w:rsidTr="005B462E">
        <w:tc>
          <w:tcPr>
            <w:tcW w:w="1730" w:type="dxa"/>
          </w:tcPr>
          <w:p w14:paraId="7511330A" w14:textId="2C8C9840"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2FE00929" w14:textId="28B9905D" w:rsidR="00846BC9" w:rsidRPr="00D767B7"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40CC2D8E" w14:textId="76A421C5" w:rsidR="00846BC9" w:rsidRDefault="00AC1944"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73FC7B3F"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3710605" w14:textId="77777777" w:rsidTr="005B462E">
        <w:tc>
          <w:tcPr>
            <w:tcW w:w="1730" w:type="dxa"/>
          </w:tcPr>
          <w:p w14:paraId="653C4B9D" w14:textId="71E413B4"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SSE Generation</w:t>
            </w:r>
          </w:p>
        </w:tc>
        <w:tc>
          <w:tcPr>
            <w:tcW w:w="1559" w:type="dxa"/>
          </w:tcPr>
          <w:p w14:paraId="552DC184" w14:textId="55D4CB03" w:rsidR="00846BC9" w:rsidRPr="00D767B7"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765CBFA" w14:textId="15F10A27" w:rsidR="00846BC9" w:rsidRDefault="00AC1944" w:rsidP="00846BC9">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Yes, we have no objection to the proposed implementation date of 1 April 2026.</w:t>
            </w:r>
          </w:p>
        </w:tc>
        <w:tc>
          <w:tcPr>
            <w:tcW w:w="3747" w:type="dxa"/>
            <w:shd w:val="clear" w:color="auto" w:fill="E2EFD9" w:themeFill="accent6" w:themeFillTint="33"/>
          </w:tcPr>
          <w:p w14:paraId="774F2CA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0C7B148" w14:textId="77777777" w:rsidTr="005B462E">
        <w:tc>
          <w:tcPr>
            <w:tcW w:w="1730" w:type="dxa"/>
          </w:tcPr>
          <w:p w14:paraId="49990820"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0ED99735" w14:textId="3EB82742" w:rsidR="00846BC9" w:rsidRPr="001723C9" w:rsidRDefault="00846BC9" w:rsidP="00846BC9">
            <w:pPr>
              <w:pStyle w:val="ColumnHeading"/>
              <w:rPr>
                <w:rFonts w:asciiTheme="minorHAnsi" w:hAnsiTheme="minorHAnsi" w:cstheme="minorHAnsi"/>
                <w:b w:val="0"/>
                <w:bCs/>
                <w:sz w:val="22"/>
                <w:szCs w:val="22"/>
              </w:rPr>
            </w:pPr>
            <w:r w:rsidRPr="00D767B7">
              <w:rPr>
                <w:rFonts w:asciiTheme="minorHAnsi" w:hAnsiTheme="minorHAnsi" w:cstheme="minorHAnsi"/>
                <w:b w:val="0"/>
                <w:bCs/>
                <w:sz w:val="22"/>
                <w:szCs w:val="22"/>
              </w:rPr>
              <w:t>Non-Confidential</w:t>
            </w:r>
          </w:p>
        </w:tc>
        <w:tc>
          <w:tcPr>
            <w:tcW w:w="7040" w:type="dxa"/>
          </w:tcPr>
          <w:p w14:paraId="4C8A8F17" w14:textId="5B807112"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AA0401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5B52EBED" w14:textId="77777777" w:rsidTr="005B462E">
        <w:tc>
          <w:tcPr>
            <w:tcW w:w="1730" w:type="dxa"/>
          </w:tcPr>
          <w:p w14:paraId="37E90BF8"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027D09D5" w14:textId="39C6E5D2" w:rsidR="00846BC9" w:rsidRPr="001723C9" w:rsidRDefault="00846BC9" w:rsidP="00846BC9">
            <w:pPr>
              <w:pStyle w:val="ColumnHeading"/>
              <w:rPr>
                <w:rFonts w:asciiTheme="minorHAnsi" w:hAnsiTheme="minorHAnsi" w:cstheme="minorHAnsi"/>
                <w:b w:val="0"/>
                <w:bCs/>
                <w:sz w:val="22"/>
                <w:szCs w:val="22"/>
              </w:rPr>
            </w:pPr>
            <w:r w:rsidRPr="00D767B7">
              <w:rPr>
                <w:rFonts w:asciiTheme="minorHAnsi" w:hAnsiTheme="minorHAnsi" w:cstheme="minorHAnsi"/>
                <w:b w:val="0"/>
                <w:bCs/>
                <w:sz w:val="22"/>
                <w:szCs w:val="22"/>
              </w:rPr>
              <w:t>Non-Confidential</w:t>
            </w:r>
          </w:p>
        </w:tc>
        <w:tc>
          <w:tcPr>
            <w:tcW w:w="7040" w:type="dxa"/>
          </w:tcPr>
          <w:p w14:paraId="11EED09A" w14:textId="13C2E0DC"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1C55B79"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68EBE0C" w14:textId="77777777" w:rsidTr="005B462E">
        <w:tc>
          <w:tcPr>
            <w:tcW w:w="14076" w:type="dxa"/>
            <w:gridSpan w:val="4"/>
            <w:shd w:val="clear" w:color="auto" w:fill="E2EFD9" w:themeFill="accent6" w:themeFillTint="33"/>
          </w:tcPr>
          <w:p w14:paraId="7F11642A" w14:textId="01DECBCA"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Six respondents stated that they were supportive of the proposed implementation date.</w:t>
            </w:r>
          </w:p>
          <w:p w14:paraId="593C927F" w14:textId="0A2EEAA1"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Two respondents noted that the proposed date of 01 April 2026 would potentially mean a derogation is required. One of these respondents also noted that the scale of system </w:t>
            </w:r>
            <w:proofErr w:type="gramStart"/>
            <w:r w:rsidRPr="006158DE">
              <w:rPr>
                <w:rFonts w:asciiTheme="minorHAnsi" w:hAnsiTheme="minorHAnsi" w:cstheme="minorHAnsi"/>
                <w:bCs/>
                <w:sz w:val="22"/>
                <w:szCs w:val="22"/>
                <w:lang w:val="en-GB"/>
              </w:rPr>
              <w:t>change</w:t>
            </w:r>
            <w:proofErr w:type="gramEnd"/>
            <w:r w:rsidRPr="006158DE">
              <w:rPr>
                <w:rFonts w:asciiTheme="minorHAnsi" w:hAnsiTheme="minorHAnsi" w:cstheme="minorHAnsi"/>
                <w:bCs/>
                <w:sz w:val="22"/>
                <w:szCs w:val="22"/>
                <w:lang w:val="en-GB"/>
              </w:rPr>
              <w:t xml:space="preserve"> also made the proposed implementation date challenging.</w:t>
            </w:r>
          </w:p>
          <w:p w14:paraId="69E23817" w14:textId="682C9E9F"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noted that the date should be driven by the date Distribution Prices have to be published i.e. 15 months prior to effective date.</w:t>
            </w:r>
          </w:p>
        </w:tc>
      </w:tr>
    </w:tbl>
    <w:p w14:paraId="6E1963A6"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1C8A052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3419772"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065B998E"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031E855A"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44EE90F9" w14:textId="4B68FA9F"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Does the legal text suitably and clearly delivery the proposed solution? If not, please provide rationale.</w:t>
            </w:r>
          </w:p>
        </w:tc>
        <w:tc>
          <w:tcPr>
            <w:tcW w:w="3747" w:type="dxa"/>
            <w:shd w:val="clear" w:color="auto" w:fill="E2EFD9" w:themeFill="accent6" w:themeFillTint="33"/>
          </w:tcPr>
          <w:p w14:paraId="0F3C6F64"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1D95EFD1" w14:textId="77777777" w:rsidTr="005B462E">
        <w:tc>
          <w:tcPr>
            <w:tcW w:w="1730" w:type="dxa"/>
          </w:tcPr>
          <w:p w14:paraId="75F3867F"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1A7BA93B" w14:textId="5BA4DB6F"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1517EFEA" w14:textId="39AD9F46"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525B8F51"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3D6FC285" w14:textId="77777777" w:rsidTr="005B462E">
        <w:tc>
          <w:tcPr>
            <w:tcW w:w="1730" w:type="dxa"/>
          </w:tcPr>
          <w:p w14:paraId="1C1DF327"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4405EAEC" w14:textId="1D07FBF6" w:rsidR="00F65952" w:rsidRPr="001723C9" w:rsidRDefault="00F65952" w:rsidP="00F65952">
            <w:pPr>
              <w:pStyle w:val="ColumnHeading"/>
              <w:rPr>
                <w:rFonts w:asciiTheme="minorHAnsi" w:hAnsiTheme="minorHAnsi" w:cstheme="minorHAnsi"/>
                <w:b w:val="0"/>
                <w:bCs/>
                <w:sz w:val="22"/>
                <w:szCs w:val="22"/>
              </w:rPr>
            </w:pPr>
            <w:r w:rsidRPr="00E26C8D">
              <w:rPr>
                <w:rFonts w:asciiTheme="minorHAnsi" w:hAnsiTheme="minorHAnsi" w:cstheme="minorHAnsi"/>
                <w:b w:val="0"/>
                <w:bCs/>
                <w:sz w:val="22"/>
                <w:szCs w:val="22"/>
              </w:rPr>
              <w:t>Non-Confidential</w:t>
            </w:r>
          </w:p>
        </w:tc>
        <w:tc>
          <w:tcPr>
            <w:tcW w:w="7040" w:type="dxa"/>
          </w:tcPr>
          <w:p w14:paraId="32122BB6" w14:textId="160C876B" w:rsidR="00F65952" w:rsidRPr="001E2633"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E23C5FF"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2B5F4CB1" w14:textId="77777777" w:rsidTr="005B462E">
        <w:tc>
          <w:tcPr>
            <w:tcW w:w="1730" w:type="dxa"/>
          </w:tcPr>
          <w:p w14:paraId="03863DF7"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5003D172" w14:textId="5659D978" w:rsidR="00F65952" w:rsidRPr="001723C9" w:rsidRDefault="00F65952" w:rsidP="00F65952">
            <w:pPr>
              <w:pStyle w:val="ColumnHeading"/>
              <w:rPr>
                <w:rFonts w:asciiTheme="minorHAnsi" w:hAnsiTheme="minorHAnsi" w:cstheme="minorHAnsi"/>
                <w:b w:val="0"/>
                <w:bCs/>
                <w:sz w:val="22"/>
                <w:szCs w:val="22"/>
                <w:lang w:val="en-GB"/>
              </w:rPr>
            </w:pPr>
            <w:r w:rsidRPr="00E26C8D">
              <w:rPr>
                <w:rFonts w:asciiTheme="minorHAnsi" w:hAnsiTheme="minorHAnsi" w:cstheme="minorHAnsi"/>
                <w:b w:val="0"/>
                <w:bCs/>
                <w:sz w:val="22"/>
                <w:szCs w:val="22"/>
              </w:rPr>
              <w:t>Non-Confidential</w:t>
            </w:r>
          </w:p>
        </w:tc>
        <w:tc>
          <w:tcPr>
            <w:tcW w:w="7040" w:type="dxa"/>
          </w:tcPr>
          <w:p w14:paraId="3D86DC67" w14:textId="2D696FEA"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9C23B06"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2DAAF740" w14:textId="77777777" w:rsidTr="005B462E">
        <w:tc>
          <w:tcPr>
            <w:tcW w:w="1730" w:type="dxa"/>
          </w:tcPr>
          <w:p w14:paraId="020DF15B" w14:textId="0D824ACA"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6BF0D55F" w14:textId="4FF8A6E9" w:rsidR="00F65952" w:rsidRPr="001723C9" w:rsidRDefault="00F65952" w:rsidP="00F65952">
            <w:pPr>
              <w:pStyle w:val="ColumnHeading"/>
              <w:rPr>
                <w:rFonts w:asciiTheme="minorHAnsi" w:hAnsiTheme="minorHAnsi" w:cstheme="minorHAnsi"/>
                <w:b w:val="0"/>
                <w:bCs/>
                <w:sz w:val="22"/>
                <w:szCs w:val="22"/>
              </w:rPr>
            </w:pPr>
            <w:r w:rsidRPr="00E26C8D">
              <w:rPr>
                <w:rFonts w:asciiTheme="minorHAnsi" w:hAnsiTheme="minorHAnsi" w:cstheme="minorHAnsi"/>
                <w:b w:val="0"/>
                <w:bCs/>
                <w:sz w:val="22"/>
                <w:szCs w:val="22"/>
              </w:rPr>
              <w:t>Non-Confidential</w:t>
            </w:r>
          </w:p>
        </w:tc>
        <w:tc>
          <w:tcPr>
            <w:tcW w:w="7040" w:type="dxa"/>
          </w:tcPr>
          <w:p w14:paraId="64355407"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No. The solution is not sufficiently developed to judge this.</w:t>
            </w:r>
          </w:p>
          <w:p w14:paraId="62B7FDC8" w14:textId="77777777" w:rsidR="00023295" w:rsidRPr="00023295" w:rsidRDefault="00023295" w:rsidP="00023295">
            <w:pPr>
              <w:rPr>
                <w:lang w:val="en-GB"/>
              </w:rPr>
            </w:pPr>
          </w:p>
          <w:p w14:paraId="6CE56FB3"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The legal text for billing the highest MD over 12 months does not deal with the proposition under examples 7 and 8 to negate the excess capacity if the MIC is changed. </w:t>
            </w:r>
          </w:p>
          <w:p w14:paraId="7024484A" w14:textId="77777777" w:rsidR="00023295" w:rsidRPr="00023295" w:rsidRDefault="00023295" w:rsidP="00023295">
            <w:pPr>
              <w:rPr>
                <w:lang w:val="en-GB"/>
              </w:rPr>
            </w:pPr>
          </w:p>
          <w:p w14:paraId="113688E4" w14:textId="38FB1A18"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No legal text has been proposed for the reintroduction of the differential tariffs.</w:t>
            </w:r>
          </w:p>
        </w:tc>
        <w:tc>
          <w:tcPr>
            <w:tcW w:w="3747" w:type="dxa"/>
            <w:shd w:val="clear" w:color="auto" w:fill="E2EFD9" w:themeFill="accent6" w:themeFillTint="33"/>
          </w:tcPr>
          <w:p w14:paraId="742E421B"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6CB4EBF3" w14:textId="77777777" w:rsidTr="005B462E">
        <w:tc>
          <w:tcPr>
            <w:tcW w:w="1730" w:type="dxa"/>
          </w:tcPr>
          <w:p w14:paraId="12DC2C64"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39FBF83" w14:textId="11281C14" w:rsidR="00F65952" w:rsidRPr="001723C9" w:rsidRDefault="00F65952" w:rsidP="00F65952">
            <w:pPr>
              <w:pStyle w:val="ColumnHeading"/>
              <w:rPr>
                <w:rFonts w:asciiTheme="minorHAnsi" w:hAnsiTheme="minorHAnsi" w:cstheme="minorHAnsi"/>
                <w:b w:val="0"/>
                <w:bCs/>
                <w:sz w:val="22"/>
                <w:szCs w:val="22"/>
              </w:rPr>
            </w:pPr>
            <w:r w:rsidRPr="00E26C8D">
              <w:rPr>
                <w:rFonts w:asciiTheme="minorHAnsi" w:hAnsiTheme="minorHAnsi" w:cstheme="minorHAnsi"/>
                <w:b w:val="0"/>
                <w:bCs/>
                <w:sz w:val="22"/>
                <w:szCs w:val="22"/>
              </w:rPr>
              <w:t>Non-Confidential</w:t>
            </w:r>
          </w:p>
        </w:tc>
        <w:tc>
          <w:tcPr>
            <w:tcW w:w="7040" w:type="dxa"/>
          </w:tcPr>
          <w:p w14:paraId="4282CD7F" w14:textId="28B87003"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In terms of the Proposed solution the legal text appears to enable the change.</w:t>
            </w:r>
          </w:p>
        </w:tc>
        <w:tc>
          <w:tcPr>
            <w:tcW w:w="3747" w:type="dxa"/>
            <w:shd w:val="clear" w:color="auto" w:fill="E2EFD9" w:themeFill="accent6" w:themeFillTint="33"/>
          </w:tcPr>
          <w:p w14:paraId="2F1250DD"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57738D1D" w14:textId="77777777" w:rsidTr="005B462E">
        <w:tc>
          <w:tcPr>
            <w:tcW w:w="1730" w:type="dxa"/>
          </w:tcPr>
          <w:p w14:paraId="310F0C82" w14:textId="122C41BC"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295F9AF7" w14:textId="46E27CFF" w:rsidR="00846BC9" w:rsidRPr="00E26C8D"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53C8B0FF" w14:textId="6257CDD1" w:rsidR="00846BC9" w:rsidRDefault="00AC1944"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553B1A7A"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0A95EF8F" w14:textId="77777777" w:rsidTr="005B462E">
        <w:tc>
          <w:tcPr>
            <w:tcW w:w="1730" w:type="dxa"/>
          </w:tcPr>
          <w:p w14:paraId="7B451409" w14:textId="79E22936"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241E8D84" w14:textId="7453F001" w:rsidR="00846BC9" w:rsidRPr="00E26C8D"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180D5A67" w14:textId="77777777" w:rsidR="00503109" w:rsidRDefault="00503109" w:rsidP="00846BC9">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 xml:space="preserve">Not entirely, in our view. </w:t>
            </w:r>
          </w:p>
          <w:p w14:paraId="06A5F841" w14:textId="77777777" w:rsidR="00503109" w:rsidRDefault="00503109" w:rsidP="00846BC9">
            <w:pPr>
              <w:pStyle w:val="ColumnHeading"/>
              <w:rPr>
                <w:rFonts w:asciiTheme="minorHAnsi" w:hAnsiTheme="minorHAnsi" w:cstheme="minorHAnsi"/>
                <w:b w:val="0"/>
                <w:bCs/>
                <w:sz w:val="22"/>
                <w:szCs w:val="22"/>
                <w:lang w:val="en-GB"/>
              </w:rPr>
            </w:pPr>
          </w:p>
          <w:p w14:paraId="0E87B2FD" w14:textId="77777777" w:rsidR="00846BC9" w:rsidRDefault="00503109" w:rsidP="00846BC9">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We note, given our more detailed level of understanding, that the proposed legal text appears to reflect the solution accurately (which is that the exceeded capacity charge is to be applied for 12 months for each exceedance, rather than for one month) but at the same time, we believe that to the average reader, this significant network charging change may not be very clear at all.</w:t>
            </w:r>
          </w:p>
          <w:p w14:paraId="663FC16F" w14:textId="77777777" w:rsidR="00503109" w:rsidRDefault="00503109" w:rsidP="00503109"/>
          <w:p w14:paraId="4327B853" w14:textId="5002CD95" w:rsidR="00503109" w:rsidRPr="00503109" w:rsidRDefault="00503109" w:rsidP="00503109">
            <w:pPr>
              <w:rPr>
                <w:rFonts w:asciiTheme="minorHAnsi" w:hAnsiTheme="minorHAnsi" w:cstheme="minorHAnsi"/>
              </w:rPr>
            </w:pPr>
            <w:r w:rsidRPr="00503109">
              <w:rPr>
                <w:rFonts w:asciiTheme="minorHAnsi" w:hAnsiTheme="minorHAnsi" w:cstheme="minorHAnsi"/>
                <w:sz w:val="22"/>
                <w:szCs w:val="22"/>
                <w:lang w:val="en-GB"/>
              </w:rPr>
              <w:t>We would welcome some additional wording to make the proposed mechanism much more transparent to the average reader, by adding wording along the lines of: “For any individual exceedance, the exceeded capacity charge is due to be paid for 12 months”.</w:t>
            </w:r>
          </w:p>
        </w:tc>
        <w:tc>
          <w:tcPr>
            <w:tcW w:w="3747" w:type="dxa"/>
            <w:shd w:val="clear" w:color="auto" w:fill="E2EFD9" w:themeFill="accent6" w:themeFillTint="33"/>
          </w:tcPr>
          <w:p w14:paraId="65D72AE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3758C01B" w14:textId="77777777" w:rsidTr="005B462E">
        <w:tc>
          <w:tcPr>
            <w:tcW w:w="1730" w:type="dxa"/>
          </w:tcPr>
          <w:p w14:paraId="73CCB5EC"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SSEN</w:t>
            </w:r>
          </w:p>
        </w:tc>
        <w:tc>
          <w:tcPr>
            <w:tcW w:w="1559" w:type="dxa"/>
          </w:tcPr>
          <w:p w14:paraId="0F6C0743" w14:textId="4AC9E02A" w:rsidR="00846BC9" w:rsidRPr="001723C9" w:rsidRDefault="00846BC9" w:rsidP="00846BC9">
            <w:pPr>
              <w:pStyle w:val="ColumnHeading"/>
              <w:rPr>
                <w:rFonts w:asciiTheme="minorHAnsi" w:hAnsiTheme="minorHAnsi" w:cstheme="minorHAnsi"/>
                <w:b w:val="0"/>
                <w:bCs/>
                <w:sz w:val="22"/>
                <w:szCs w:val="22"/>
              </w:rPr>
            </w:pPr>
            <w:r w:rsidRPr="00E26C8D">
              <w:rPr>
                <w:rFonts w:asciiTheme="minorHAnsi" w:hAnsiTheme="minorHAnsi" w:cstheme="minorHAnsi"/>
                <w:b w:val="0"/>
                <w:bCs/>
                <w:sz w:val="22"/>
                <w:szCs w:val="22"/>
              </w:rPr>
              <w:t>Non-Confidential</w:t>
            </w:r>
          </w:p>
        </w:tc>
        <w:tc>
          <w:tcPr>
            <w:tcW w:w="7040" w:type="dxa"/>
          </w:tcPr>
          <w:p w14:paraId="3E5F57CD" w14:textId="1F85585C"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AB831BB"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4F8BE2B" w14:textId="77777777" w:rsidTr="005B462E">
        <w:tc>
          <w:tcPr>
            <w:tcW w:w="1730" w:type="dxa"/>
          </w:tcPr>
          <w:p w14:paraId="62CE983C"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2AB31A21" w14:textId="3DA98E3D" w:rsidR="00846BC9" w:rsidRPr="001723C9" w:rsidRDefault="00846BC9" w:rsidP="00846BC9">
            <w:pPr>
              <w:pStyle w:val="ColumnHeading"/>
              <w:rPr>
                <w:rFonts w:asciiTheme="minorHAnsi" w:hAnsiTheme="minorHAnsi" w:cstheme="minorHAnsi"/>
                <w:b w:val="0"/>
                <w:bCs/>
                <w:sz w:val="22"/>
                <w:szCs w:val="22"/>
              </w:rPr>
            </w:pPr>
            <w:r w:rsidRPr="00E26C8D">
              <w:rPr>
                <w:rFonts w:asciiTheme="minorHAnsi" w:hAnsiTheme="minorHAnsi" w:cstheme="minorHAnsi"/>
                <w:b w:val="0"/>
                <w:bCs/>
                <w:sz w:val="22"/>
                <w:szCs w:val="22"/>
              </w:rPr>
              <w:t>Non-Confidential</w:t>
            </w:r>
          </w:p>
        </w:tc>
        <w:tc>
          <w:tcPr>
            <w:tcW w:w="7040" w:type="dxa"/>
          </w:tcPr>
          <w:p w14:paraId="33FE1FC8" w14:textId="7C6D2E0B"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3716138C"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270C14CA" w14:textId="77777777" w:rsidTr="005B462E">
        <w:tc>
          <w:tcPr>
            <w:tcW w:w="14076" w:type="dxa"/>
            <w:gridSpan w:val="4"/>
            <w:shd w:val="clear" w:color="auto" w:fill="E2EFD9" w:themeFill="accent6" w:themeFillTint="33"/>
          </w:tcPr>
          <w:p w14:paraId="58EB02FB"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 xml:space="preserve">Seven responders stated that they believed the proposed legal text was suitable. </w:t>
            </w:r>
          </w:p>
          <w:p w14:paraId="4ADE2B4A" w14:textId="41B1F2EA"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said they would welcome some additional wording to make the proposed mechanism much more transparent to the average reader, by adding wording along the lines of: “For any individual exceedance, the exceeded capacity charge is due to be paid for 12 months”.</w:t>
            </w:r>
          </w:p>
          <w:p w14:paraId="482F9EC8" w14:textId="7A610FD5"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One responder stated that the legal text for billing the highest MD over 12 months does not deal with the proposition under examples 7 and 8 to negate the excess capacity if the MIC is changed. </w:t>
            </w:r>
          </w:p>
          <w:p w14:paraId="0053B9D0" w14:textId="6718B86C"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They also highlighted that no legal text has been proposed for the reintroduction of the differential tariffs.</w:t>
            </w:r>
          </w:p>
        </w:tc>
      </w:tr>
    </w:tbl>
    <w:p w14:paraId="58C11B4F"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7AC7CA34"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57A0"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2EE27EC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226501D"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2DC4EBD" w14:textId="3BBCF8A8"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68C57935"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12E403E0" w14:textId="77777777" w:rsidTr="005B462E">
        <w:tc>
          <w:tcPr>
            <w:tcW w:w="1730" w:type="dxa"/>
          </w:tcPr>
          <w:p w14:paraId="5DA538EE"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2685EF09" w14:textId="54C412ED"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7B2FE74F" w14:textId="522FF314"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77C9C6FE"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1D9FCC96" w14:textId="77777777" w:rsidTr="005B462E">
        <w:tc>
          <w:tcPr>
            <w:tcW w:w="1730" w:type="dxa"/>
          </w:tcPr>
          <w:p w14:paraId="507556C1"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408E14A9" w14:textId="30722438" w:rsidR="00F65952" w:rsidRPr="001723C9" w:rsidRDefault="00F65952" w:rsidP="00F65952">
            <w:pPr>
              <w:pStyle w:val="ColumnHeading"/>
              <w:rPr>
                <w:rFonts w:asciiTheme="minorHAnsi" w:hAnsiTheme="minorHAnsi" w:cstheme="minorHAnsi"/>
                <w:b w:val="0"/>
                <w:bCs/>
                <w:sz w:val="22"/>
                <w:szCs w:val="22"/>
              </w:rPr>
            </w:pPr>
            <w:r w:rsidRPr="008C41C3">
              <w:rPr>
                <w:rFonts w:asciiTheme="minorHAnsi" w:hAnsiTheme="minorHAnsi" w:cstheme="minorHAnsi"/>
                <w:b w:val="0"/>
                <w:bCs/>
                <w:sz w:val="22"/>
                <w:szCs w:val="22"/>
              </w:rPr>
              <w:t>Non-Confidential</w:t>
            </w:r>
          </w:p>
        </w:tc>
        <w:tc>
          <w:tcPr>
            <w:tcW w:w="7040" w:type="dxa"/>
          </w:tcPr>
          <w:p w14:paraId="25BB7C7A" w14:textId="3E0EF577" w:rsidR="00F65952" w:rsidRPr="001E2633"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24A30912"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F714DCA" w14:textId="77777777" w:rsidTr="005B462E">
        <w:tc>
          <w:tcPr>
            <w:tcW w:w="1730" w:type="dxa"/>
          </w:tcPr>
          <w:p w14:paraId="16785031"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0A91609" w14:textId="25E43689" w:rsidR="00F65952" w:rsidRPr="001723C9" w:rsidRDefault="00F65952" w:rsidP="00F65952">
            <w:pPr>
              <w:pStyle w:val="ColumnHeading"/>
              <w:rPr>
                <w:rFonts w:asciiTheme="minorHAnsi" w:hAnsiTheme="minorHAnsi" w:cstheme="minorHAnsi"/>
                <w:b w:val="0"/>
                <w:bCs/>
                <w:sz w:val="22"/>
                <w:szCs w:val="22"/>
                <w:lang w:val="en-GB"/>
              </w:rPr>
            </w:pPr>
            <w:r w:rsidRPr="008C41C3">
              <w:rPr>
                <w:rFonts w:asciiTheme="minorHAnsi" w:hAnsiTheme="minorHAnsi" w:cstheme="minorHAnsi"/>
                <w:b w:val="0"/>
                <w:bCs/>
                <w:sz w:val="22"/>
                <w:szCs w:val="22"/>
              </w:rPr>
              <w:t>Non-Confidential</w:t>
            </w:r>
          </w:p>
        </w:tc>
        <w:tc>
          <w:tcPr>
            <w:tcW w:w="7040" w:type="dxa"/>
          </w:tcPr>
          <w:p w14:paraId="11BF0D85" w14:textId="191E3EA2"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69766E45"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15FD4E6F" w14:textId="77777777" w:rsidTr="005B462E">
        <w:tc>
          <w:tcPr>
            <w:tcW w:w="1730" w:type="dxa"/>
          </w:tcPr>
          <w:p w14:paraId="38C240D5" w14:textId="5B221BB2"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0F3E0E5D" w14:textId="3F0CF678" w:rsidR="00F65952" w:rsidRPr="001723C9" w:rsidRDefault="00F65952" w:rsidP="00F65952">
            <w:pPr>
              <w:pStyle w:val="ColumnHeading"/>
              <w:rPr>
                <w:rFonts w:asciiTheme="minorHAnsi" w:hAnsiTheme="minorHAnsi" w:cstheme="minorHAnsi"/>
                <w:b w:val="0"/>
                <w:bCs/>
                <w:sz w:val="22"/>
                <w:szCs w:val="22"/>
              </w:rPr>
            </w:pPr>
            <w:r w:rsidRPr="008C41C3">
              <w:rPr>
                <w:rFonts w:asciiTheme="minorHAnsi" w:hAnsiTheme="minorHAnsi" w:cstheme="minorHAnsi"/>
                <w:b w:val="0"/>
                <w:bCs/>
                <w:sz w:val="22"/>
                <w:szCs w:val="22"/>
              </w:rPr>
              <w:t>Non-Confidential</w:t>
            </w:r>
          </w:p>
        </w:tc>
        <w:tc>
          <w:tcPr>
            <w:tcW w:w="7040" w:type="dxa"/>
          </w:tcPr>
          <w:p w14:paraId="5AB9B73D" w14:textId="233C5620"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See response to Q16.</w:t>
            </w:r>
          </w:p>
        </w:tc>
        <w:tc>
          <w:tcPr>
            <w:tcW w:w="3747" w:type="dxa"/>
            <w:shd w:val="clear" w:color="auto" w:fill="E2EFD9" w:themeFill="accent6" w:themeFillTint="33"/>
          </w:tcPr>
          <w:p w14:paraId="21B7748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D30CFFB" w14:textId="77777777" w:rsidTr="005B462E">
        <w:tc>
          <w:tcPr>
            <w:tcW w:w="1730" w:type="dxa"/>
          </w:tcPr>
          <w:p w14:paraId="31B6BC6F"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A67CC6F" w14:textId="6F58251E" w:rsidR="00F65952" w:rsidRPr="001723C9" w:rsidRDefault="00F65952" w:rsidP="00F65952">
            <w:pPr>
              <w:pStyle w:val="ColumnHeading"/>
              <w:rPr>
                <w:rFonts w:asciiTheme="minorHAnsi" w:hAnsiTheme="minorHAnsi" w:cstheme="minorHAnsi"/>
                <w:b w:val="0"/>
                <w:bCs/>
                <w:sz w:val="22"/>
                <w:szCs w:val="22"/>
              </w:rPr>
            </w:pPr>
            <w:r w:rsidRPr="008C41C3">
              <w:rPr>
                <w:rFonts w:asciiTheme="minorHAnsi" w:hAnsiTheme="minorHAnsi" w:cstheme="minorHAnsi"/>
                <w:b w:val="0"/>
                <w:bCs/>
                <w:sz w:val="22"/>
                <w:szCs w:val="22"/>
              </w:rPr>
              <w:t>Non-Confidential</w:t>
            </w:r>
          </w:p>
        </w:tc>
        <w:tc>
          <w:tcPr>
            <w:tcW w:w="7040" w:type="dxa"/>
          </w:tcPr>
          <w:p w14:paraId="0B1A9D90" w14:textId="653A5349"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A further review would be required for the Alternative solution.</w:t>
            </w:r>
          </w:p>
        </w:tc>
        <w:tc>
          <w:tcPr>
            <w:tcW w:w="3747" w:type="dxa"/>
            <w:shd w:val="clear" w:color="auto" w:fill="E2EFD9" w:themeFill="accent6" w:themeFillTint="33"/>
          </w:tcPr>
          <w:p w14:paraId="171B4B9F"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6D018EEA" w14:textId="77777777" w:rsidTr="005B462E">
        <w:tc>
          <w:tcPr>
            <w:tcW w:w="1730" w:type="dxa"/>
          </w:tcPr>
          <w:p w14:paraId="0C80DAA0" w14:textId="7610D3C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464FD5B6" w14:textId="7E997EE3" w:rsidR="00846BC9" w:rsidRPr="008C41C3"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7FC679AF" w14:textId="109AA6E9" w:rsidR="00846BC9" w:rsidRDefault="00AC1944"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7C373538"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8BDB58A" w14:textId="77777777" w:rsidTr="005B462E">
        <w:tc>
          <w:tcPr>
            <w:tcW w:w="1730" w:type="dxa"/>
          </w:tcPr>
          <w:p w14:paraId="1E2DAB55" w14:textId="61A5C592"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5912AED3" w14:textId="2F995CAA" w:rsidR="00846BC9" w:rsidRPr="008C41C3"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CC9B16A" w14:textId="62B8433C" w:rsidR="00846BC9" w:rsidRDefault="00503109" w:rsidP="00846BC9">
            <w:pPr>
              <w:pStyle w:val="ColumnHeading"/>
              <w:rPr>
                <w:rFonts w:asciiTheme="minorHAnsi" w:hAnsiTheme="minorHAnsi" w:cstheme="minorHAnsi"/>
                <w:b w:val="0"/>
                <w:bCs/>
                <w:sz w:val="22"/>
                <w:szCs w:val="22"/>
              </w:rPr>
            </w:pPr>
            <w:r w:rsidRPr="00503109">
              <w:rPr>
                <w:rFonts w:asciiTheme="minorHAnsi" w:hAnsiTheme="minorHAnsi" w:cstheme="minorHAnsi"/>
                <w:b w:val="0"/>
                <w:bCs/>
                <w:sz w:val="22"/>
                <w:szCs w:val="22"/>
                <w:lang w:val="en-GB"/>
              </w:rPr>
              <w:t>Yes - see our response to question 16.</w:t>
            </w:r>
          </w:p>
        </w:tc>
        <w:tc>
          <w:tcPr>
            <w:tcW w:w="3747" w:type="dxa"/>
            <w:shd w:val="clear" w:color="auto" w:fill="E2EFD9" w:themeFill="accent6" w:themeFillTint="33"/>
          </w:tcPr>
          <w:p w14:paraId="20A80467"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37C4150" w14:textId="77777777" w:rsidTr="005B462E">
        <w:tc>
          <w:tcPr>
            <w:tcW w:w="1730" w:type="dxa"/>
          </w:tcPr>
          <w:p w14:paraId="24A79306"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4BC0018E" w14:textId="2394F3B3" w:rsidR="00846BC9" w:rsidRPr="001723C9" w:rsidRDefault="00846BC9" w:rsidP="00846BC9">
            <w:pPr>
              <w:pStyle w:val="ColumnHeading"/>
              <w:rPr>
                <w:rFonts w:asciiTheme="minorHAnsi" w:hAnsiTheme="minorHAnsi" w:cstheme="minorHAnsi"/>
                <w:b w:val="0"/>
                <w:bCs/>
                <w:sz w:val="22"/>
                <w:szCs w:val="22"/>
              </w:rPr>
            </w:pPr>
            <w:r w:rsidRPr="008C41C3">
              <w:rPr>
                <w:rFonts w:asciiTheme="minorHAnsi" w:hAnsiTheme="minorHAnsi" w:cstheme="minorHAnsi"/>
                <w:b w:val="0"/>
                <w:bCs/>
                <w:sz w:val="22"/>
                <w:szCs w:val="22"/>
              </w:rPr>
              <w:t>Non-Confidential</w:t>
            </w:r>
          </w:p>
        </w:tc>
        <w:tc>
          <w:tcPr>
            <w:tcW w:w="7040" w:type="dxa"/>
          </w:tcPr>
          <w:p w14:paraId="20087D27" w14:textId="23B31EC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00B60F79"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41BD626B" w14:textId="77777777" w:rsidTr="005B462E">
        <w:tc>
          <w:tcPr>
            <w:tcW w:w="1730" w:type="dxa"/>
          </w:tcPr>
          <w:p w14:paraId="30E28849"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7D931EE0" w14:textId="2455E0FD" w:rsidR="00846BC9" w:rsidRPr="001723C9" w:rsidRDefault="00846BC9" w:rsidP="00846BC9">
            <w:pPr>
              <w:pStyle w:val="ColumnHeading"/>
              <w:rPr>
                <w:rFonts w:asciiTheme="minorHAnsi" w:hAnsiTheme="minorHAnsi" w:cstheme="minorHAnsi"/>
                <w:b w:val="0"/>
                <w:bCs/>
                <w:sz w:val="22"/>
                <w:szCs w:val="22"/>
              </w:rPr>
            </w:pPr>
            <w:r w:rsidRPr="008C41C3">
              <w:rPr>
                <w:rFonts w:asciiTheme="minorHAnsi" w:hAnsiTheme="minorHAnsi" w:cstheme="minorHAnsi"/>
                <w:b w:val="0"/>
                <w:bCs/>
                <w:sz w:val="22"/>
                <w:szCs w:val="22"/>
              </w:rPr>
              <w:t>Non-Confidential</w:t>
            </w:r>
          </w:p>
        </w:tc>
        <w:tc>
          <w:tcPr>
            <w:tcW w:w="7040" w:type="dxa"/>
          </w:tcPr>
          <w:p w14:paraId="101466B9" w14:textId="3650EAFB"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No, it describes the </w:t>
            </w:r>
            <w:proofErr w:type="gramStart"/>
            <w:r w:rsidRPr="005C7D70">
              <w:rPr>
                <w:rFonts w:asciiTheme="minorHAnsi" w:hAnsiTheme="minorHAnsi" w:cstheme="minorHAnsi"/>
                <w:b w:val="0"/>
                <w:bCs/>
                <w:sz w:val="22"/>
                <w:szCs w:val="22"/>
                <w:lang w:val="en-GB"/>
              </w:rPr>
              <w:t>12 month</w:t>
            </w:r>
            <w:proofErr w:type="gramEnd"/>
            <w:r w:rsidRPr="005C7D70">
              <w:rPr>
                <w:rFonts w:asciiTheme="minorHAnsi" w:hAnsiTheme="minorHAnsi" w:cstheme="minorHAnsi"/>
                <w:b w:val="0"/>
                <w:bCs/>
                <w:sz w:val="22"/>
                <w:szCs w:val="22"/>
                <w:lang w:val="en-GB"/>
              </w:rPr>
              <w:t xml:space="preserve"> scenario well.</w:t>
            </w:r>
          </w:p>
        </w:tc>
        <w:tc>
          <w:tcPr>
            <w:tcW w:w="3747" w:type="dxa"/>
            <w:shd w:val="clear" w:color="auto" w:fill="E2EFD9" w:themeFill="accent6" w:themeFillTint="33"/>
          </w:tcPr>
          <w:p w14:paraId="79B577AF"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AA50D97" w14:textId="77777777" w:rsidTr="005B462E">
        <w:tc>
          <w:tcPr>
            <w:tcW w:w="14076" w:type="dxa"/>
            <w:gridSpan w:val="4"/>
            <w:shd w:val="clear" w:color="auto" w:fill="E2EFD9" w:themeFill="accent6" w:themeFillTint="33"/>
          </w:tcPr>
          <w:p w14:paraId="0C7BE0BD"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Six responders stated that they had no comment on the legal text.</w:t>
            </w:r>
          </w:p>
          <w:p w14:paraId="076968D6" w14:textId="0A561389"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Two highlighted the comments that they’d raised in response to question 16.</w:t>
            </w:r>
          </w:p>
          <w:p w14:paraId="4CE790A6" w14:textId="0A9751CB"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highlighted that there was no draft legal text for the differential solution.</w:t>
            </w:r>
          </w:p>
        </w:tc>
      </w:tr>
    </w:tbl>
    <w:p w14:paraId="18C81117"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763887E0"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512BF57"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7B4354AD"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61147C83"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69F99D9B" w14:textId="7F5AD987"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Should the legal text explain the impact of this change?</w:t>
            </w:r>
          </w:p>
        </w:tc>
        <w:tc>
          <w:tcPr>
            <w:tcW w:w="3747" w:type="dxa"/>
            <w:shd w:val="clear" w:color="auto" w:fill="E2EFD9" w:themeFill="accent6" w:themeFillTint="33"/>
          </w:tcPr>
          <w:p w14:paraId="2820325B"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19999690" w14:textId="77777777" w:rsidTr="005B462E">
        <w:tc>
          <w:tcPr>
            <w:tcW w:w="1730" w:type="dxa"/>
          </w:tcPr>
          <w:p w14:paraId="71C18CC4"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BUUK</w:t>
            </w:r>
          </w:p>
        </w:tc>
        <w:tc>
          <w:tcPr>
            <w:tcW w:w="1559" w:type="dxa"/>
          </w:tcPr>
          <w:p w14:paraId="294226BA" w14:textId="148D1D56"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69D47A38" w14:textId="2167EE9B"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Yes – I think to outline the rationale behind this change would be beneficial.</w:t>
            </w:r>
          </w:p>
        </w:tc>
        <w:tc>
          <w:tcPr>
            <w:tcW w:w="3747" w:type="dxa"/>
            <w:shd w:val="clear" w:color="auto" w:fill="E2EFD9" w:themeFill="accent6" w:themeFillTint="33"/>
          </w:tcPr>
          <w:p w14:paraId="1761AF95"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08E78D4C" w14:textId="77777777" w:rsidTr="005B462E">
        <w:tc>
          <w:tcPr>
            <w:tcW w:w="1730" w:type="dxa"/>
          </w:tcPr>
          <w:p w14:paraId="3431C4F7"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745E0979" w14:textId="424DE75E" w:rsidR="00F65952" w:rsidRPr="001723C9" w:rsidRDefault="00F65952" w:rsidP="00F65952">
            <w:pPr>
              <w:pStyle w:val="ColumnHeading"/>
              <w:rPr>
                <w:rFonts w:asciiTheme="minorHAnsi" w:hAnsiTheme="minorHAnsi" w:cstheme="minorHAnsi"/>
                <w:b w:val="0"/>
                <w:bCs/>
                <w:sz w:val="22"/>
                <w:szCs w:val="22"/>
              </w:rPr>
            </w:pPr>
            <w:r w:rsidRPr="000A7A3E">
              <w:rPr>
                <w:rFonts w:asciiTheme="minorHAnsi" w:hAnsiTheme="minorHAnsi" w:cstheme="minorHAnsi"/>
                <w:b w:val="0"/>
                <w:bCs/>
                <w:sz w:val="22"/>
                <w:szCs w:val="22"/>
              </w:rPr>
              <w:t>Non-Confidential</w:t>
            </w:r>
          </w:p>
        </w:tc>
        <w:tc>
          <w:tcPr>
            <w:tcW w:w="7040" w:type="dxa"/>
          </w:tcPr>
          <w:p w14:paraId="569E6DAD" w14:textId="449ADD75"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The additional proposed text is helpful for Suppliers but communication to consumers from DNOs should be reviewed and separate guidance produced if necessary</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16E27678"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4C18F63" w14:textId="77777777" w:rsidTr="005B462E">
        <w:tc>
          <w:tcPr>
            <w:tcW w:w="1730" w:type="dxa"/>
          </w:tcPr>
          <w:p w14:paraId="36245CD3"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C09D7AE" w14:textId="41B1E46E" w:rsidR="00F65952" w:rsidRPr="001723C9" w:rsidRDefault="00F65952" w:rsidP="00F65952">
            <w:pPr>
              <w:pStyle w:val="ColumnHeading"/>
              <w:rPr>
                <w:rFonts w:asciiTheme="minorHAnsi" w:hAnsiTheme="minorHAnsi" w:cstheme="minorHAnsi"/>
                <w:b w:val="0"/>
                <w:bCs/>
                <w:sz w:val="22"/>
                <w:szCs w:val="22"/>
                <w:lang w:val="en-GB"/>
              </w:rPr>
            </w:pPr>
            <w:r w:rsidRPr="000A7A3E">
              <w:rPr>
                <w:rFonts w:asciiTheme="minorHAnsi" w:hAnsiTheme="minorHAnsi" w:cstheme="minorHAnsi"/>
                <w:b w:val="0"/>
                <w:bCs/>
                <w:sz w:val="22"/>
                <w:szCs w:val="22"/>
              </w:rPr>
              <w:t>Non-Confidential</w:t>
            </w:r>
          </w:p>
        </w:tc>
        <w:tc>
          <w:tcPr>
            <w:tcW w:w="7040" w:type="dxa"/>
          </w:tcPr>
          <w:p w14:paraId="10A3FD90" w14:textId="11D49FD8"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unless required.</w:t>
            </w:r>
          </w:p>
        </w:tc>
        <w:tc>
          <w:tcPr>
            <w:tcW w:w="3747" w:type="dxa"/>
            <w:shd w:val="clear" w:color="auto" w:fill="E2EFD9" w:themeFill="accent6" w:themeFillTint="33"/>
          </w:tcPr>
          <w:p w14:paraId="7E433E7F"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6EBB6FCF" w14:textId="77777777" w:rsidTr="005B462E">
        <w:tc>
          <w:tcPr>
            <w:tcW w:w="1730" w:type="dxa"/>
          </w:tcPr>
          <w:p w14:paraId="40A6AF8B" w14:textId="3649F0B8"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55A93499" w14:textId="60951D49" w:rsidR="00F65952" w:rsidRPr="001723C9" w:rsidRDefault="00F65952" w:rsidP="00F65952">
            <w:pPr>
              <w:pStyle w:val="ColumnHeading"/>
              <w:rPr>
                <w:rFonts w:asciiTheme="minorHAnsi" w:hAnsiTheme="minorHAnsi" w:cstheme="minorHAnsi"/>
                <w:b w:val="0"/>
                <w:bCs/>
                <w:sz w:val="22"/>
                <w:szCs w:val="22"/>
              </w:rPr>
            </w:pPr>
            <w:r w:rsidRPr="000A7A3E">
              <w:rPr>
                <w:rFonts w:asciiTheme="minorHAnsi" w:hAnsiTheme="minorHAnsi" w:cstheme="minorHAnsi"/>
                <w:b w:val="0"/>
                <w:bCs/>
                <w:sz w:val="22"/>
                <w:szCs w:val="22"/>
              </w:rPr>
              <w:t>Non-Confidential</w:t>
            </w:r>
          </w:p>
        </w:tc>
        <w:tc>
          <w:tcPr>
            <w:tcW w:w="7040" w:type="dxa"/>
          </w:tcPr>
          <w:p w14:paraId="5753A7E6" w14:textId="39651A3D"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This could be included in the LC14 as additional guidance, if it is not included in the legal text.</w:t>
            </w:r>
          </w:p>
        </w:tc>
        <w:tc>
          <w:tcPr>
            <w:tcW w:w="3747" w:type="dxa"/>
            <w:shd w:val="clear" w:color="auto" w:fill="E2EFD9" w:themeFill="accent6" w:themeFillTint="33"/>
          </w:tcPr>
          <w:p w14:paraId="3F5D05F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131F2216" w14:textId="77777777" w:rsidTr="005B462E">
        <w:tc>
          <w:tcPr>
            <w:tcW w:w="1730" w:type="dxa"/>
          </w:tcPr>
          <w:p w14:paraId="27BD3B2E"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1942B9B" w14:textId="539164BE" w:rsidR="00F65952" w:rsidRPr="001723C9" w:rsidRDefault="00F65952" w:rsidP="00F65952">
            <w:pPr>
              <w:pStyle w:val="ColumnHeading"/>
              <w:rPr>
                <w:rFonts w:asciiTheme="minorHAnsi" w:hAnsiTheme="minorHAnsi" w:cstheme="minorHAnsi"/>
                <w:b w:val="0"/>
                <w:bCs/>
                <w:sz w:val="22"/>
                <w:szCs w:val="22"/>
              </w:rPr>
            </w:pPr>
            <w:r w:rsidRPr="000A7A3E">
              <w:rPr>
                <w:rFonts w:asciiTheme="minorHAnsi" w:hAnsiTheme="minorHAnsi" w:cstheme="minorHAnsi"/>
                <w:b w:val="0"/>
                <w:bCs/>
                <w:sz w:val="22"/>
                <w:szCs w:val="22"/>
              </w:rPr>
              <w:t>Non-Confidential</w:t>
            </w:r>
          </w:p>
        </w:tc>
        <w:tc>
          <w:tcPr>
            <w:tcW w:w="7040" w:type="dxa"/>
          </w:tcPr>
          <w:p w14:paraId="4C598F42" w14:textId="04144663" w:rsidR="00F65952" w:rsidRPr="00DB770B" w:rsidRDefault="00DB770B" w:rsidP="00DB770B">
            <w:pPr>
              <w:rPr>
                <w:rFonts w:asciiTheme="minorHAnsi" w:hAnsiTheme="minorHAnsi" w:cstheme="minorHAnsi"/>
              </w:rPr>
            </w:pPr>
            <w:r w:rsidRPr="00DB770B">
              <w:rPr>
                <w:rFonts w:asciiTheme="minorHAnsi" w:hAnsiTheme="minorHAnsi" w:cstheme="minorHAnsi"/>
                <w:sz w:val="22"/>
                <w:szCs w:val="22"/>
              </w:rPr>
              <w:t>Yes, this is a complex area, and it would need to be clearly explained in simple terms for customers to aid their understanding of the potential impact on their costs.</w:t>
            </w:r>
          </w:p>
        </w:tc>
        <w:tc>
          <w:tcPr>
            <w:tcW w:w="3747" w:type="dxa"/>
            <w:shd w:val="clear" w:color="auto" w:fill="E2EFD9" w:themeFill="accent6" w:themeFillTint="33"/>
          </w:tcPr>
          <w:p w14:paraId="22D9A86D" w14:textId="77777777" w:rsidR="00F65952" w:rsidRPr="001723C9" w:rsidRDefault="00F65952" w:rsidP="00F65952">
            <w:pPr>
              <w:pStyle w:val="ColumnHeading"/>
              <w:rPr>
                <w:rFonts w:asciiTheme="minorHAnsi" w:hAnsiTheme="minorHAnsi" w:cstheme="minorHAnsi"/>
                <w:b w:val="0"/>
                <w:bCs/>
                <w:sz w:val="22"/>
                <w:szCs w:val="22"/>
              </w:rPr>
            </w:pPr>
          </w:p>
        </w:tc>
      </w:tr>
      <w:tr w:rsidR="00846BC9" w:rsidRPr="001723C9" w14:paraId="06B4D016" w14:textId="77777777" w:rsidTr="005B462E">
        <w:tc>
          <w:tcPr>
            <w:tcW w:w="1730" w:type="dxa"/>
          </w:tcPr>
          <w:p w14:paraId="1820A36E" w14:textId="0824D277"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372A73DA" w14:textId="07AADAE1" w:rsidR="00846BC9" w:rsidRPr="000A7A3E"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72AB3135" w14:textId="795E2202" w:rsidR="00846BC9" w:rsidRDefault="00AC1944"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2C8BB53E"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11AC2343" w14:textId="77777777" w:rsidTr="005B462E">
        <w:tc>
          <w:tcPr>
            <w:tcW w:w="1730" w:type="dxa"/>
          </w:tcPr>
          <w:p w14:paraId="0F68FB5A" w14:textId="409B8D54" w:rsidR="00846BC9" w:rsidRDefault="00846BC9"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497F6F5B" w14:textId="2A89B412" w:rsidR="00846BC9" w:rsidRPr="000A7A3E" w:rsidRDefault="00846BC9" w:rsidP="00846BC9">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024C35B7" w14:textId="77777777" w:rsidR="00503109" w:rsidRDefault="00503109" w:rsidP="00846BC9">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 xml:space="preserve">Yes, it should, in this instance as, in our view, the current legal drafting is not sufficiently clear on the effect of what is a significant network charging change. </w:t>
            </w:r>
          </w:p>
          <w:p w14:paraId="06EE445C" w14:textId="77777777" w:rsidR="00503109" w:rsidRDefault="00503109" w:rsidP="00846BC9">
            <w:pPr>
              <w:pStyle w:val="ColumnHeading"/>
              <w:rPr>
                <w:rFonts w:asciiTheme="minorHAnsi" w:hAnsiTheme="minorHAnsi" w:cstheme="minorHAnsi"/>
                <w:b w:val="0"/>
                <w:bCs/>
                <w:sz w:val="22"/>
                <w:szCs w:val="22"/>
                <w:lang w:val="en-GB"/>
              </w:rPr>
            </w:pPr>
          </w:p>
          <w:p w14:paraId="38DFD0B9" w14:textId="40B550EC" w:rsidR="00846BC9" w:rsidRDefault="00503109" w:rsidP="00846BC9">
            <w:pPr>
              <w:pStyle w:val="ColumnHeading"/>
              <w:rPr>
                <w:rFonts w:asciiTheme="minorHAnsi" w:hAnsiTheme="minorHAnsi" w:cstheme="minorHAnsi"/>
                <w:b w:val="0"/>
                <w:bCs/>
                <w:sz w:val="22"/>
                <w:szCs w:val="22"/>
              </w:rPr>
            </w:pPr>
            <w:r w:rsidRPr="00503109">
              <w:rPr>
                <w:rFonts w:asciiTheme="minorHAnsi" w:hAnsiTheme="minorHAnsi" w:cstheme="minorHAnsi"/>
                <w:b w:val="0"/>
                <w:bCs/>
                <w:sz w:val="22"/>
                <w:szCs w:val="22"/>
                <w:lang w:val="en-GB"/>
              </w:rPr>
              <w:t>See our response to question 16.</w:t>
            </w:r>
          </w:p>
        </w:tc>
        <w:tc>
          <w:tcPr>
            <w:tcW w:w="3747" w:type="dxa"/>
            <w:shd w:val="clear" w:color="auto" w:fill="E2EFD9" w:themeFill="accent6" w:themeFillTint="33"/>
          </w:tcPr>
          <w:p w14:paraId="7D571ACD"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02400B5C" w14:textId="77777777" w:rsidTr="005B462E">
        <w:tc>
          <w:tcPr>
            <w:tcW w:w="1730" w:type="dxa"/>
          </w:tcPr>
          <w:p w14:paraId="2C6B5A38" w14:textId="77777777" w:rsidR="00846BC9" w:rsidRPr="001638ED"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2D70E0F9" w14:textId="0BD2A418" w:rsidR="00846BC9" w:rsidRPr="001723C9" w:rsidRDefault="00846BC9" w:rsidP="00846BC9">
            <w:pPr>
              <w:pStyle w:val="ColumnHeading"/>
              <w:rPr>
                <w:rFonts w:asciiTheme="minorHAnsi" w:hAnsiTheme="minorHAnsi" w:cstheme="minorHAnsi"/>
                <w:b w:val="0"/>
                <w:bCs/>
                <w:sz w:val="22"/>
                <w:szCs w:val="22"/>
              </w:rPr>
            </w:pPr>
            <w:r w:rsidRPr="000A7A3E">
              <w:rPr>
                <w:rFonts w:asciiTheme="minorHAnsi" w:hAnsiTheme="minorHAnsi" w:cstheme="minorHAnsi"/>
                <w:b w:val="0"/>
                <w:bCs/>
                <w:sz w:val="22"/>
                <w:szCs w:val="22"/>
              </w:rPr>
              <w:t>Non-Confidential</w:t>
            </w:r>
          </w:p>
        </w:tc>
        <w:tc>
          <w:tcPr>
            <w:tcW w:w="7040" w:type="dxa"/>
          </w:tcPr>
          <w:p w14:paraId="5E7386FF" w14:textId="03E164C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10EDCFA"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6AD73D75" w14:textId="77777777" w:rsidTr="005B462E">
        <w:tc>
          <w:tcPr>
            <w:tcW w:w="1730" w:type="dxa"/>
          </w:tcPr>
          <w:p w14:paraId="6E008629" w14:textId="77777777" w:rsidR="00846BC9" w:rsidRPr="00DE2A65" w:rsidRDefault="00846BC9" w:rsidP="00846BC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UKPN</w:t>
            </w:r>
          </w:p>
        </w:tc>
        <w:tc>
          <w:tcPr>
            <w:tcW w:w="1559" w:type="dxa"/>
          </w:tcPr>
          <w:p w14:paraId="2527C683" w14:textId="2AEDE2BE" w:rsidR="00846BC9" w:rsidRPr="001723C9" w:rsidRDefault="00846BC9" w:rsidP="00846BC9">
            <w:pPr>
              <w:pStyle w:val="ColumnHeading"/>
              <w:rPr>
                <w:rFonts w:asciiTheme="minorHAnsi" w:hAnsiTheme="minorHAnsi" w:cstheme="minorHAnsi"/>
                <w:b w:val="0"/>
                <w:bCs/>
                <w:sz w:val="22"/>
                <w:szCs w:val="22"/>
              </w:rPr>
            </w:pPr>
            <w:r w:rsidRPr="000A7A3E">
              <w:rPr>
                <w:rFonts w:asciiTheme="minorHAnsi" w:hAnsiTheme="minorHAnsi" w:cstheme="minorHAnsi"/>
                <w:b w:val="0"/>
                <w:bCs/>
                <w:sz w:val="22"/>
                <w:szCs w:val="22"/>
              </w:rPr>
              <w:t>Non-Confidential</w:t>
            </w:r>
          </w:p>
        </w:tc>
        <w:tc>
          <w:tcPr>
            <w:tcW w:w="7040" w:type="dxa"/>
          </w:tcPr>
          <w:p w14:paraId="5C4C15CB" w14:textId="77777777" w:rsidR="00846BC9"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No, this is not an approach taken in DCUSA with other elements of the charges. </w:t>
            </w:r>
          </w:p>
          <w:p w14:paraId="0231AD44" w14:textId="77777777" w:rsidR="00846BC9" w:rsidRPr="005C7D70" w:rsidRDefault="00846BC9" w:rsidP="00846BC9">
            <w:pPr>
              <w:rPr>
                <w:lang w:val="en-GB"/>
              </w:rPr>
            </w:pPr>
          </w:p>
          <w:p w14:paraId="01F7647D" w14:textId="6DECFC3D" w:rsidR="00846BC9" w:rsidRPr="00DE2A65" w:rsidRDefault="00846BC9" w:rsidP="00846BC9">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The impact is often given in more simplified language in the charging statement.</w:t>
            </w:r>
          </w:p>
        </w:tc>
        <w:tc>
          <w:tcPr>
            <w:tcW w:w="3747" w:type="dxa"/>
            <w:shd w:val="clear" w:color="auto" w:fill="E2EFD9" w:themeFill="accent6" w:themeFillTint="33"/>
          </w:tcPr>
          <w:p w14:paraId="0AD6BB2C" w14:textId="77777777" w:rsidR="00846BC9" w:rsidRPr="001723C9" w:rsidRDefault="00846BC9" w:rsidP="00846BC9">
            <w:pPr>
              <w:pStyle w:val="ColumnHeading"/>
              <w:rPr>
                <w:rFonts w:asciiTheme="minorHAnsi" w:hAnsiTheme="minorHAnsi" w:cstheme="minorHAnsi"/>
                <w:b w:val="0"/>
                <w:bCs/>
                <w:sz w:val="22"/>
                <w:szCs w:val="22"/>
              </w:rPr>
            </w:pPr>
          </w:p>
        </w:tc>
      </w:tr>
      <w:tr w:rsidR="00846BC9" w:rsidRPr="001723C9" w14:paraId="7DE61321" w14:textId="77777777" w:rsidTr="005B462E">
        <w:tc>
          <w:tcPr>
            <w:tcW w:w="14076" w:type="dxa"/>
            <w:gridSpan w:val="4"/>
            <w:shd w:val="clear" w:color="auto" w:fill="E2EFD9" w:themeFill="accent6" w:themeFillTint="33"/>
          </w:tcPr>
          <w:p w14:paraId="3E97952C" w14:textId="77777777" w:rsidR="006158DE" w:rsidRPr="006158DE" w:rsidRDefault="00846BC9"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Six respondents said they believed the legal text should explain the impact of the change.</w:t>
            </w:r>
          </w:p>
          <w:p w14:paraId="58429632" w14:textId="03AC1EED"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of these six responses also suggested some form of communication from the DNOs to consumers could also explain the impact of the change.</w:t>
            </w:r>
          </w:p>
          <w:p w14:paraId="0D88D482" w14:textId="4D29D4E2"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Three responses said no to this question and suggested the impact could be included in the LC14 statements.</w:t>
            </w:r>
          </w:p>
          <w:p w14:paraId="49773982" w14:textId="05916009" w:rsidR="00846BC9" w:rsidRPr="001723C9" w:rsidRDefault="006158DE" w:rsidP="00846BC9">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of these three respondents drew attention to the fact this is not an approach taken in DCUSA with other elements of the charges.</w:t>
            </w:r>
          </w:p>
        </w:tc>
      </w:tr>
    </w:tbl>
    <w:p w14:paraId="731699AF"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0A5E6809"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323143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23CB63D7"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CC1EB46"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466BB0CD" w14:textId="37D9BA47"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have any comments on the proposed wording regarding the impact?</w:t>
            </w:r>
          </w:p>
        </w:tc>
        <w:tc>
          <w:tcPr>
            <w:tcW w:w="3747" w:type="dxa"/>
            <w:shd w:val="clear" w:color="auto" w:fill="E2EFD9" w:themeFill="accent6" w:themeFillTint="33"/>
          </w:tcPr>
          <w:p w14:paraId="2C6A702E"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260FFCA1" w14:textId="77777777" w:rsidTr="005B462E">
        <w:tc>
          <w:tcPr>
            <w:tcW w:w="1730" w:type="dxa"/>
          </w:tcPr>
          <w:p w14:paraId="62C9D425"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73DC7617" w14:textId="10B8D9CD"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6BAB4AB6" w14:textId="2121F62E" w:rsidR="00102E1E" w:rsidRPr="00B836AA" w:rsidRDefault="00F65952"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255E19C9"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200E3D33" w14:textId="77777777" w:rsidTr="005B462E">
        <w:tc>
          <w:tcPr>
            <w:tcW w:w="1730" w:type="dxa"/>
          </w:tcPr>
          <w:p w14:paraId="4E5B6057"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28BB7C2" w14:textId="659CF4BE" w:rsidR="00F65952" w:rsidRPr="001723C9" w:rsidRDefault="00F65952" w:rsidP="00F65952">
            <w:pPr>
              <w:pStyle w:val="ColumnHeading"/>
              <w:rPr>
                <w:rFonts w:asciiTheme="minorHAnsi" w:hAnsiTheme="minorHAnsi" w:cstheme="minorHAnsi"/>
                <w:b w:val="0"/>
                <w:bCs/>
                <w:sz w:val="22"/>
                <w:szCs w:val="22"/>
              </w:rPr>
            </w:pPr>
            <w:r w:rsidRPr="0059013C">
              <w:rPr>
                <w:rFonts w:asciiTheme="minorHAnsi" w:hAnsiTheme="minorHAnsi" w:cstheme="minorHAnsi"/>
                <w:b w:val="0"/>
                <w:bCs/>
                <w:sz w:val="22"/>
                <w:szCs w:val="22"/>
              </w:rPr>
              <w:t>Non-Confidential</w:t>
            </w:r>
          </w:p>
        </w:tc>
        <w:tc>
          <w:tcPr>
            <w:tcW w:w="7040" w:type="dxa"/>
          </w:tcPr>
          <w:p w14:paraId="65155242" w14:textId="0FDD96FA"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No – only that consumers will not see this. How does this get communicated to end consumers</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7E01A46F"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CDED6A8" w14:textId="77777777" w:rsidTr="005B462E">
        <w:tc>
          <w:tcPr>
            <w:tcW w:w="1730" w:type="dxa"/>
          </w:tcPr>
          <w:p w14:paraId="5D4E7F34"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2772D824" w14:textId="51661D3A" w:rsidR="00F65952" w:rsidRPr="001723C9" w:rsidRDefault="00F65952" w:rsidP="00F65952">
            <w:pPr>
              <w:pStyle w:val="ColumnHeading"/>
              <w:rPr>
                <w:rFonts w:asciiTheme="minorHAnsi" w:hAnsiTheme="minorHAnsi" w:cstheme="minorHAnsi"/>
                <w:b w:val="0"/>
                <w:bCs/>
                <w:sz w:val="22"/>
                <w:szCs w:val="22"/>
                <w:lang w:val="en-GB"/>
              </w:rPr>
            </w:pPr>
            <w:r w:rsidRPr="0059013C">
              <w:rPr>
                <w:rFonts w:asciiTheme="minorHAnsi" w:hAnsiTheme="minorHAnsi" w:cstheme="minorHAnsi"/>
                <w:b w:val="0"/>
                <w:bCs/>
                <w:sz w:val="22"/>
                <w:szCs w:val="22"/>
              </w:rPr>
              <w:t>Non-Confidential</w:t>
            </w:r>
          </w:p>
        </w:tc>
        <w:tc>
          <w:tcPr>
            <w:tcW w:w="7040" w:type="dxa"/>
          </w:tcPr>
          <w:p w14:paraId="7BDAA648" w14:textId="64B419B3"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0E2A03C2"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08D45F2A" w14:textId="77777777" w:rsidTr="005B462E">
        <w:tc>
          <w:tcPr>
            <w:tcW w:w="1730" w:type="dxa"/>
          </w:tcPr>
          <w:p w14:paraId="0BDDD92E" w14:textId="3CE570B9"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lastRenderedPageBreak/>
              <w:t>NPg</w:t>
            </w:r>
            <w:proofErr w:type="spellEnd"/>
          </w:p>
        </w:tc>
        <w:tc>
          <w:tcPr>
            <w:tcW w:w="1559" w:type="dxa"/>
          </w:tcPr>
          <w:p w14:paraId="58E16DC9" w14:textId="557C0BBE" w:rsidR="00F65952" w:rsidRPr="001723C9" w:rsidRDefault="00F65952" w:rsidP="00F65952">
            <w:pPr>
              <w:pStyle w:val="ColumnHeading"/>
              <w:rPr>
                <w:rFonts w:asciiTheme="minorHAnsi" w:hAnsiTheme="minorHAnsi" w:cstheme="minorHAnsi"/>
                <w:b w:val="0"/>
                <w:bCs/>
                <w:sz w:val="22"/>
                <w:szCs w:val="22"/>
              </w:rPr>
            </w:pPr>
            <w:r w:rsidRPr="0059013C">
              <w:rPr>
                <w:rFonts w:asciiTheme="minorHAnsi" w:hAnsiTheme="minorHAnsi" w:cstheme="minorHAnsi"/>
                <w:b w:val="0"/>
                <w:bCs/>
                <w:sz w:val="22"/>
                <w:szCs w:val="22"/>
              </w:rPr>
              <w:t>Non-Confidential</w:t>
            </w:r>
          </w:p>
        </w:tc>
        <w:tc>
          <w:tcPr>
            <w:tcW w:w="7040" w:type="dxa"/>
          </w:tcPr>
          <w:p w14:paraId="5B3D9B13" w14:textId="5FA44190" w:rsidR="00F65952" w:rsidRPr="001E2633" w:rsidRDefault="00023295" w:rsidP="00F65952">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No.</w:t>
            </w:r>
          </w:p>
        </w:tc>
        <w:tc>
          <w:tcPr>
            <w:tcW w:w="3747" w:type="dxa"/>
            <w:shd w:val="clear" w:color="auto" w:fill="E2EFD9" w:themeFill="accent6" w:themeFillTint="33"/>
          </w:tcPr>
          <w:p w14:paraId="657306AF"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10881DFF" w14:textId="77777777" w:rsidTr="005B462E">
        <w:tc>
          <w:tcPr>
            <w:tcW w:w="1730" w:type="dxa"/>
          </w:tcPr>
          <w:p w14:paraId="56537DD6"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5C0F61B1" w14:textId="12DB516A" w:rsidR="00F65952" w:rsidRPr="001723C9" w:rsidRDefault="00F65952" w:rsidP="00F65952">
            <w:pPr>
              <w:pStyle w:val="ColumnHeading"/>
              <w:rPr>
                <w:rFonts w:asciiTheme="minorHAnsi" w:hAnsiTheme="minorHAnsi" w:cstheme="minorHAnsi"/>
                <w:b w:val="0"/>
                <w:bCs/>
                <w:sz w:val="22"/>
                <w:szCs w:val="22"/>
              </w:rPr>
            </w:pPr>
            <w:r w:rsidRPr="0059013C">
              <w:rPr>
                <w:rFonts w:asciiTheme="minorHAnsi" w:hAnsiTheme="minorHAnsi" w:cstheme="minorHAnsi"/>
                <w:b w:val="0"/>
                <w:bCs/>
                <w:sz w:val="22"/>
                <w:szCs w:val="22"/>
              </w:rPr>
              <w:t>Non-Confidential</w:t>
            </w:r>
          </w:p>
        </w:tc>
        <w:tc>
          <w:tcPr>
            <w:tcW w:w="7040" w:type="dxa"/>
          </w:tcPr>
          <w:p w14:paraId="5523B32B" w14:textId="688F26CB" w:rsidR="00F65952" w:rsidRPr="0093655A" w:rsidRDefault="00DB770B"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None.</w:t>
            </w:r>
          </w:p>
        </w:tc>
        <w:tc>
          <w:tcPr>
            <w:tcW w:w="3747" w:type="dxa"/>
            <w:shd w:val="clear" w:color="auto" w:fill="E2EFD9" w:themeFill="accent6" w:themeFillTint="33"/>
          </w:tcPr>
          <w:p w14:paraId="559D59BA" w14:textId="77777777" w:rsidR="00F65952" w:rsidRPr="001723C9" w:rsidRDefault="00F65952" w:rsidP="00F65952">
            <w:pPr>
              <w:pStyle w:val="ColumnHeading"/>
              <w:rPr>
                <w:rFonts w:asciiTheme="minorHAnsi" w:hAnsiTheme="minorHAnsi" w:cstheme="minorHAnsi"/>
                <w:b w:val="0"/>
                <w:bCs/>
                <w:sz w:val="22"/>
                <w:szCs w:val="22"/>
              </w:rPr>
            </w:pPr>
          </w:p>
        </w:tc>
      </w:tr>
      <w:tr w:rsidR="00BB00BF" w:rsidRPr="001723C9" w14:paraId="3E753770" w14:textId="77777777" w:rsidTr="005B462E">
        <w:tc>
          <w:tcPr>
            <w:tcW w:w="1730" w:type="dxa"/>
          </w:tcPr>
          <w:p w14:paraId="1FB322F2" w14:textId="1F64B77A" w:rsidR="00BB00BF" w:rsidRDefault="00BB00BF" w:rsidP="00BB00B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3650591C" w14:textId="75DF73FC" w:rsidR="00BB00BF" w:rsidRPr="0059013C"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43774DAE" w14:textId="67BACF74" w:rsidR="00BB00BF" w:rsidRDefault="00AC1944" w:rsidP="00BB00BF">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No, we agree with the proposed wording.</w:t>
            </w:r>
          </w:p>
        </w:tc>
        <w:tc>
          <w:tcPr>
            <w:tcW w:w="3747" w:type="dxa"/>
            <w:shd w:val="clear" w:color="auto" w:fill="E2EFD9" w:themeFill="accent6" w:themeFillTint="33"/>
          </w:tcPr>
          <w:p w14:paraId="52EBE320"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35879634" w14:textId="77777777" w:rsidTr="005B462E">
        <w:tc>
          <w:tcPr>
            <w:tcW w:w="1730" w:type="dxa"/>
          </w:tcPr>
          <w:p w14:paraId="58A0944E" w14:textId="187176A2" w:rsidR="00BB00BF" w:rsidRDefault="00BB00BF" w:rsidP="00BB00B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236646AF" w14:textId="53E0EC42" w:rsidR="00BB00BF" w:rsidRPr="0059013C"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25B272F4" w14:textId="550F95C0" w:rsidR="00BB00BF" w:rsidRDefault="00503109" w:rsidP="00BB00BF">
            <w:pPr>
              <w:pStyle w:val="ColumnHeading"/>
              <w:rPr>
                <w:rFonts w:asciiTheme="minorHAnsi" w:hAnsiTheme="minorHAnsi" w:cstheme="minorHAnsi"/>
                <w:b w:val="0"/>
                <w:bCs/>
                <w:sz w:val="22"/>
                <w:szCs w:val="22"/>
              </w:rPr>
            </w:pPr>
            <w:r w:rsidRPr="00503109">
              <w:rPr>
                <w:rFonts w:asciiTheme="minorHAnsi" w:hAnsiTheme="minorHAnsi" w:cstheme="minorHAnsi"/>
                <w:b w:val="0"/>
                <w:bCs/>
                <w:sz w:val="22"/>
                <w:szCs w:val="22"/>
                <w:lang w:val="en-GB"/>
              </w:rPr>
              <w:t>Yes, see our response to questions 16. to 18.</w:t>
            </w:r>
          </w:p>
        </w:tc>
        <w:tc>
          <w:tcPr>
            <w:tcW w:w="3747" w:type="dxa"/>
            <w:shd w:val="clear" w:color="auto" w:fill="E2EFD9" w:themeFill="accent6" w:themeFillTint="33"/>
          </w:tcPr>
          <w:p w14:paraId="49F0CA24"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5D5AC4D3" w14:textId="77777777" w:rsidTr="005B462E">
        <w:tc>
          <w:tcPr>
            <w:tcW w:w="1730" w:type="dxa"/>
          </w:tcPr>
          <w:p w14:paraId="50F388EA" w14:textId="77777777" w:rsidR="00BB00BF" w:rsidRPr="001638ED"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29D86B93" w14:textId="02CF1DBD" w:rsidR="00BB00BF" w:rsidRPr="001723C9" w:rsidRDefault="00BB00BF" w:rsidP="00BB00BF">
            <w:pPr>
              <w:pStyle w:val="ColumnHeading"/>
              <w:rPr>
                <w:rFonts w:asciiTheme="minorHAnsi" w:hAnsiTheme="minorHAnsi" w:cstheme="minorHAnsi"/>
                <w:b w:val="0"/>
                <w:bCs/>
                <w:sz w:val="22"/>
                <w:szCs w:val="22"/>
              </w:rPr>
            </w:pPr>
            <w:r w:rsidRPr="0059013C">
              <w:rPr>
                <w:rFonts w:asciiTheme="minorHAnsi" w:hAnsiTheme="minorHAnsi" w:cstheme="minorHAnsi"/>
                <w:b w:val="0"/>
                <w:bCs/>
                <w:sz w:val="22"/>
                <w:szCs w:val="22"/>
              </w:rPr>
              <w:t>Non-Confidential</w:t>
            </w:r>
          </w:p>
        </w:tc>
        <w:tc>
          <w:tcPr>
            <w:tcW w:w="7040" w:type="dxa"/>
          </w:tcPr>
          <w:p w14:paraId="6EA3B5D3" w14:textId="6B02409B"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19834E2D"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77DBDCF9" w14:textId="77777777" w:rsidTr="005B462E">
        <w:tc>
          <w:tcPr>
            <w:tcW w:w="1730" w:type="dxa"/>
          </w:tcPr>
          <w:p w14:paraId="7E3DC07E" w14:textId="77777777"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220EACEB" w14:textId="5EB4810C" w:rsidR="00BB00BF" w:rsidRPr="001723C9" w:rsidRDefault="00BB00BF" w:rsidP="00BB00BF">
            <w:pPr>
              <w:pStyle w:val="ColumnHeading"/>
              <w:rPr>
                <w:rFonts w:asciiTheme="minorHAnsi" w:hAnsiTheme="minorHAnsi" w:cstheme="minorHAnsi"/>
                <w:b w:val="0"/>
                <w:bCs/>
                <w:sz w:val="22"/>
                <w:szCs w:val="22"/>
              </w:rPr>
            </w:pPr>
            <w:r w:rsidRPr="0059013C">
              <w:rPr>
                <w:rFonts w:asciiTheme="minorHAnsi" w:hAnsiTheme="minorHAnsi" w:cstheme="minorHAnsi"/>
                <w:b w:val="0"/>
                <w:bCs/>
                <w:sz w:val="22"/>
                <w:szCs w:val="22"/>
              </w:rPr>
              <w:t>Non-Confidential</w:t>
            </w:r>
          </w:p>
        </w:tc>
        <w:tc>
          <w:tcPr>
            <w:tcW w:w="7040" w:type="dxa"/>
          </w:tcPr>
          <w:p w14:paraId="280C72B0" w14:textId="36848023" w:rsidR="00BB00BF" w:rsidRPr="00DE2A65" w:rsidRDefault="00BB00BF" w:rsidP="00BB00BF">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It is not required. The proposed text could be misleading as an individual exceedance may never be charged at all.</w:t>
            </w:r>
          </w:p>
        </w:tc>
        <w:tc>
          <w:tcPr>
            <w:tcW w:w="3747" w:type="dxa"/>
            <w:shd w:val="clear" w:color="auto" w:fill="E2EFD9" w:themeFill="accent6" w:themeFillTint="33"/>
          </w:tcPr>
          <w:p w14:paraId="00989013"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3DB47F33" w14:textId="77777777" w:rsidTr="005B462E">
        <w:tc>
          <w:tcPr>
            <w:tcW w:w="14076" w:type="dxa"/>
            <w:gridSpan w:val="4"/>
            <w:shd w:val="clear" w:color="auto" w:fill="E2EFD9" w:themeFill="accent6" w:themeFillTint="33"/>
          </w:tcPr>
          <w:p w14:paraId="39A9D14A" w14:textId="77777777" w:rsidR="006158DE" w:rsidRPr="006158DE" w:rsidRDefault="00BB00BF"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Eight respondents said they didn’t have any comments on the proposed wording of the impact.</w:t>
            </w:r>
          </w:p>
          <w:p w14:paraId="42CECD03" w14:textId="4BC622D0"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of these noted that the legal text would unlikely be seen by an end user and asked how an end user would see the impact of this change.</w:t>
            </w:r>
          </w:p>
          <w:p w14:paraId="06BA8CB4" w14:textId="43128E03" w:rsidR="00BB00BF" w:rsidRPr="001723C9" w:rsidRDefault="006158DE" w:rsidP="00BB00BF">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stated that the wording that they suggested in paragraph 5.42 could be used.</w:t>
            </w:r>
          </w:p>
        </w:tc>
      </w:tr>
    </w:tbl>
    <w:p w14:paraId="176E0784"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5A59F39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F7CC38A"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706694D8"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A690B4C"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AE31A95" w14:textId="4A70196B"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How should the legal text deal with changes in MIC?</w:t>
            </w:r>
          </w:p>
        </w:tc>
        <w:tc>
          <w:tcPr>
            <w:tcW w:w="3747" w:type="dxa"/>
            <w:shd w:val="clear" w:color="auto" w:fill="E2EFD9" w:themeFill="accent6" w:themeFillTint="33"/>
          </w:tcPr>
          <w:p w14:paraId="157F93E8"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102E1E" w:rsidRPr="001723C9" w14:paraId="4B0E4E99" w14:textId="77777777" w:rsidTr="005B462E">
        <w:tc>
          <w:tcPr>
            <w:tcW w:w="1730" w:type="dxa"/>
          </w:tcPr>
          <w:p w14:paraId="47E2A632" w14:textId="77777777" w:rsidR="00102E1E" w:rsidRPr="00B836AA" w:rsidRDefault="00102E1E" w:rsidP="005B462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BUUK</w:t>
            </w:r>
          </w:p>
        </w:tc>
        <w:tc>
          <w:tcPr>
            <w:tcW w:w="1559" w:type="dxa"/>
          </w:tcPr>
          <w:p w14:paraId="5D0EAACC" w14:textId="2EEE16DB" w:rsidR="00102E1E" w:rsidRPr="001723C9" w:rsidRDefault="00F65952"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16BB3DC3" w14:textId="6852EF9B" w:rsidR="00102E1E" w:rsidRPr="00B836AA" w:rsidRDefault="00F65952" w:rsidP="005B462E">
            <w:pPr>
              <w:pStyle w:val="ColumnHeading"/>
              <w:rPr>
                <w:rFonts w:asciiTheme="minorHAnsi" w:hAnsiTheme="minorHAnsi" w:cstheme="minorHAnsi"/>
                <w:b w:val="0"/>
                <w:bCs/>
                <w:sz w:val="22"/>
                <w:szCs w:val="22"/>
                <w:lang w:val="en-GB"/>
              </w:rPr>
            </w:pPr>
            <w:r w:rsidRPr="00F65952">
              <w:rPr>
                <w:rFonts w:asciiTheme="minorHAnsi" w:hAnsiTheme="minorHAnsi" w:cstheme="minorHAnsi"/>
                <w:b w:val="0"/>
                <w:bCs/>
                <w:sz w:val="22"/>
                <w:szCs w:val="22"/>
                <w:lang w:val="en-GB"/>
              </w:rPr>
              <w:t>We would reiterate our response to question 12, pertaining to acknowledging technical risks associated with exceeding MIC and that any drafting must not add additional burdens to existing processes in this area.</w:t>
            </w:r>
          </w:p>
        </w:tc>
        <w:tc>
          <w:tcPr>
            <w:tcW w:w="3747" w:type="dxa"/>
            <w:shd w:val="clear" w:color="auto" w:fill="E2EFD9" w:themeFill="accent6" w:themeFillTint="33"/>
          </w:tcPr>
          <w:p w14:paraId="283D19AA" w14:textId="77777777" w:rsidR="00102E1E" w:rsidRPr="001723C9" w:rsidRDefault="00102E1E" w:rsidP="005B462E">
            <w:pPr>
              <w:pStyle w:val="ColumnHeading"/>
              <w:rPr>
                <w:rFonts w:asciiTheme="minorHAnsi" w:hAnsiTheme="minorHAnsi" w:cstheme="minorHAnsi"/>
                <w:b w:val="0"/>
                <w:bCs/>
                <w:sz w:val="22"/>
                <w:szCs w:val="22"/>
              </w:rPr>
            </w:pPr>
          </w:p>
        </w:tc>
      </w:tr>
      <w:tr w:rsidR="00F65952" w:rsidRPr="001723C9" w14:paraId="197429D8" w14:textId="77777777" w:rsidTr="005B462E">
        <w:tc>
          <w:tcPr>
            <w:tcW w:w="1730" w:type="dxa"/>
          </w:tcPr>
          <w:p w14:paraId="7EEA1420"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751319F1" w14:textId="02BDA01B" w:rsidR="00F65952" w:rsidRPr="001723C9" w:rsidRDefault="00F65952" w:rsidP="00F65952">
            <w:pPr>
              <w:pStyle w:val="ColumnHeading"/>
              <w:rPr>
                <w:rFonts w:asciiTheme="minorHAnsi" w:hAnsiTheme="minorHAnsi" w:cstheme="minorHAnsi"/>
                <w:b w:val="0"/>
                <w:bCs/>
                <w:sz w:val="22"/>
                <w:szCs w:val="22"/>
              </w:rPr>
            </w:pPr>
            <w:r w:rsidRPr="008619D9">
              <w:rPr>
                <w:rFonts w:asciiTheme="minorHAnsi" w:hAnsiTheme="minorHAnsi" w:cstheme="minorHAnsi"/>
                <w:b w:val="0"/>
                <w:bCs/>
                <w:sz w:val="22"/>
                <w:szCs w:val="22"/>
              </w:rPr>
              <w:t>Non-Confidential</w:t>
            </w:r>
          </w:p>
        </w:tc>
        <w:tc>
          <w:tcPr>
            <w:tcW w:w="7040" w:type="dxa"/>
          </w:tcPr>
          <w:p w14:paraId="78D71860" w14:textId="275E0F05" w:rsidR="00F65952" w:rsidRPr="001E2633"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This should be clear to both Suppliers and Customers however the DCUSA legal text is not best placed for this. This should be clearly set out in the charging statements in our view.</w:t>
            </w:r>
          </w:p>
        </w:tc>
        <w:tc>
          <w:tcPr>
            <w:tcW w:w="3747" w:type="dxa"/>
            <w:shd w:val="clear" w:color="auto" w:fill="E2EFD9" w:themeFill="accent6" w:themeFillTint="33"/>
          </w:tcPr>
          <w:p w14:paraId="6ECF156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A4F12BE" w14:textId="77777777" w:rsidTr="005B462E">
        <w:tc>
          <w:tcPr>
            <w:tcW w:w="1730" w:type="dxa"/>
          </w:tcPr>
          <w:p w14:paraId="187603D6"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NGED</w:t>
            </w:r>
          </w:p>
        </w:tc>
        <w:tc>
          <w:tcPr>
            <w:tcW w:w="1559" w:type="dxa"/>
          </w:tcPr>
          <w:p w14:paraId="027DDD59" w14:textId="3FB3DBB0" w:rsidR="00F65952" w:rsidRPr="001723C9" w:rsidRDefault="00F65952" w:rsidP="00F65952">
            <w:pPr>
              <w:pStyle w:val="ColumnHeading"/>
              <w:rPr>
                <w:rFonts w:asciiTheme="minorHAnsi" w:hAnsiTheme="minorHAnsi" w:cstheme="minorHAnsi"/>
                <w:b w:val="0"/>
                <w:bCs/>
                <w:sz w:val="22"/>
                <w:szCs w:val="22"/>
                <w:lang w:val="en-GB"/>
              </w:rPr>
            </w:pPr>
            <w:r w:rsidRPr="008619D9">
              <w:rPr>
                <w:rFonts w:asciiTheme="minorHAnsi" w:hAnsiTheme="minorHAnsi" w:cstheme="minorHAnsi"/>
                <w:b w:val="0"/>
                <w:bCs/>
                <w:sz w:val="22"/>
                <w:szCs w:val="22"/>
              </w:rPr>
              <w:t>Non-Confidential</w:t>
            </w:r>
          </w:p>
        </w:tc>
        <w:tc>
          <w:tcPr>
            <w:tcW w:w="7040" w:type="dxa"/>
          </w:tcPr>
          <w:p w14:paraId="31A14014" w14:textId="68C04696" w:rsidR="00F65952" w:rsidRPr="001723C9" w:rsidRDefault="00B35D24" w:rsidP="00F65952">
            <w:pPr>
              <w:pStyle w:val="ColumnHeading"/>
              <w:rPr>
                <w:rFonts w:asciiTheme="minorHAnsi" w:hAnsiTheme="minorHAnsi" w:cstheme="minorHAnsi"/>
                <w:b w:val="0"/>
                <w:bCs/>
                <w:sz w:val="22"/>
                <w:szCs w:val="22"/>
                <w:lang w:val="en-GB"/>
              </w:rPr>
            </w:pPr>
            <w:r w:rsidRPr="00B35D24">
              <w:rPr>
                <w:rFonts w:asciiTheme="minorHAnsi" w:hAnsiTheme="minorHAnsi" w:cstheme="minorHAnsi"/>
                <w:b w:val="0"/>
                <w:bCs/>
                <w:sz w:val="22"/>
                <w:szCs w:val="22"/>
                <w:lang w:val="en-GB"/>
              </w:rPr>
              <w:t>Ensure any consequences from changes in MIC are well-defined and outlined.</w:t>
            </w:r>
          </w:p>
        </w:tc>
        <w:tc>
          <w:tcPr>
            <w:tcW w:w="3747" w:type="dxa"/>
            <w:shd w:val="clear" w:color="auto" w:fill="E2EFD9" w:themeFill="accent6" w:themeFillTint="33"/>
          </w:tcPr>
          <w:p w14:paraId="12240135"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489016C2" w14:textId="77777777" w:rsidTr="005B462E">
        <w:tc>
          <w:tcPr>
            <w:tcW w:w="1730" w:type="dxa"/>
          </w:tcPr>
          <w:p w14:paraId="168EB740" w14:textId="43504B13"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7C18DCE0" w14:textId="71FFCB66" w:rsidR="00F65952" w:rsidRPr="001723C9" w:rsidRDefault="00F65952" w:rsidP="00F65952">
            <w:pPr>
              <w:pStyle w:val="ColumnHeading"/>
              <w:rPr>
                <w:rFonts w:asciiTheme="minorHAnsi" w:hAnsiTheme="minorHAnsi" w:cstheme="minorHAnsi"/>
                <w:b w:val="0"/>
                <w:bCs/>
                <w:sz w:val="22"/>
                <w:szCs w:val="22"/>
              </w:rPr>
            </w:pPr>
            <w:r w:rsidRPr="008619D9">
              <w:rPr>
                <w:rFonts w:asciiTheme="minorHAnsi" w:hAnsiTheme="minorHAnsi" w:cstheme="minorHAnsi"/>
                <w:b w:val="0"/>
                <w:bCs/>
                <w:sz w:val="22"/>
                <w:szCs w:val="22"/>
              </w:rPr>
              <w:t>Non-Confidential</w:t>
            </w:r>
          </w:p>
        </w:tc>
        <w:tc>
          <w:tcPr>
            <w:tcW w:w="7040" w:type="dxa"/>
          </w:tcPr>
          <w:p w14:paraId="60DE7A47" w14:textId="06AB021D" w:rsidR="00F65952" w:rsidRPr="001E2633" w:rsidRDefault="00023295" w:rsidP="00F65952">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This would need a section for exceptional circumstances with full explanation of when a reset in the chargeable capacity is applicable.</w:t>
            </w:r>
          </w:p>
        </w:tc>
        <w:tc>
          <w:tcPr>
            <w:tcW w:w="3747" w:type="dxa"/>
            <w:shd w:val="clear" w:color="auto" w:fill="E2EFD9" w:themeFill="accent6" w:themeFillTint="33"/>
          </w:tcPr>
          <w:p w14:paraId="5205EE34"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07570E09" w14:textId="77777777" w:rsidTr="005B462E">
        <w:tc>
          <w:tcPr>
            <w:tcW w:w="1730" w:type="dxa"/>
          </w:tcPr>
          <w:p w14:paraId="5AC5F075"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76A6AC7D" w14:textId="7D2AFE70" w:rsidR="00F65952" w:rsidRPr="001723C9" w:rsidRDefault="00F65952" w:rsidP="00F65952">
            <w:pPr>
              <w:pStyle w:val="ColumnHeading"/>
              <w:rPr>
                <w:rFonts w:asciiTheme="minorHAnsi" w:hAnsiTheme="minorHAnsi" w:cstheme="minorHAnsi"/>
                <w:b w:val="0"/>
                <w:bCs/>
                <w:sz w:val="22"/>
                <w:szCs w:val="22"/>
              </w:rPr>
            </w:pPr>
            <w:r w:rsidRPr="008619D9">
              <w:rPr>
                <w:rFonts w:asciiTheme="minorHAnsi" w:hAnsiTheme="minorHAnsi" w:cstheme="minorHAnsi"/>
                <w:b w:val="0"/>
                <w:bCs/>
                <w:sz w:val="22"/>
                <w:szCs w:val="22"/>
              </w:rPr>
              <w:t>Non-Confidential</w:t>
            </w:r>
          </w:p>
        </w:tc>
        <w:tc>
          <w:tcPr>
            <w:tcW w:w="7040" w:type="dxa"/>
          </w:tcPr>
          <w:p w14:paraId="73343E81" w14:textId="26524CA9" w:rsidR="00F65952" w:rsidRPr="0093655A" w:rsidRDefault="00DB770B" w:rsidP="00F65952">
            <w:pPr>
              <w:pStyle w:val="ColumnHeading"/>
              <w:rPr>
                <w:rFonts w:asciiTheme="minorHAnsi" w:hAnsiTheme="minorHAnsi" w:cstheme="minorHAnsi"/>
                <w:b w:val="0"/>
                <w:sz w:val="22"/>
                <w:szCs w:val="22"/>
              </w:rPr>
            </w:pPr>
            <w:r w:rsidRPr="00DB770B">
              <w:rPr>
                <w:rFonts w:asciiTheme="minorHAnsi" w:hAnsiTheme="minorHAnsi" w:cstheme="minorHAnsi"/>
                <w:b w:val="0"/>
                <w:sz w:val="22"/>
                <w:szCs w:val="22"/>
              </w:rPr>
              <w:t>Provision of illustrative worked examples showing the impact of the change.</w:t>
            </w:r>
          </w:p>
        </w:tc>
        <w:tc>
          <w:tcPr>
            <w:tcW w:w="3747" w:type="dxa"/>
            <w:shd w:val="clear" w:color="auto" w:fill="E2EFD9" w:themeFill="accent6" w:themeFillTint="33"/>
          </w:tcPr>
          <w:p w14:paraId="364EC7E3" w14:textId="77777777" w:rsidR="00F65952" w:rsidRPr="001723C9" w:rsidRDefault="00F65952" w:rsidP="00F65952">
            <w:pPr>
              <w:pStyle w:val="ColumnHeading"/>
              <w:rPr>
                <w:rFonts w:asciiTheme="minorHAnsi" w:hAnsiTheme="minorHAnsi" w:cstheme="minorHAnsi"/>
                <w:b w:val="0"/>
                <w:bCs/>
                <w:sz w:val="22"/>
                <w:szCs w:val="22"/>
              </w:rPr>
            </w:pPr>
          </w:p>
        </w:tc>
      </w:tr>
      <w:tr w:rsidR="00BB00BF" w:rsidRPr="001723C9" w14:paraId="6040C6E3" w14:textId="77777777" w:rsidTr="005B462E">
        <w:tc>
          <w:tcPr>
            <w:tcW w:w="1730" w:type="dxa"/>
          </w:tcPr>
          <w:p w14:paraId="4CA28D85" w14:textId="03E23DA5" w:rsidR="00BB00BF" w:rsidRPr="00BB00BF" w:rsidRDefault="00BB00BF" w:rsidP="00BB00BF">
            <w:pPr>
              <w:pStyle w:val="ColumnHeading"/>
              <w:rPr>
                <w:rFonts w:asciiTheme="minorHAnsi" w:hAnsiTheme="minorHAnsi" w:cstheme="minorHAnsi"/>
                <w:sz w:val="22"/>
                <w:szCs w:val="22"/>
              </w:rPr>
            </w:pPr>
            <w:r>
              <w:rPr>
                <w:rFonts w:asciiTheme="minorHAnsi" w:hAnsiTheme="minorHAnsi" w:cstheme="minorHAnsi"/>
                <w:b w:val="0"/>
                <w:bCs/>
                <w:sz w:val="22"/>
                <w:szCs w:val="22"/>
              </w:rPr>
              <w:t>SSE Business</w:t>
            </w:r>
          </w:p>
        </w:tc>
        <w:tc>
          <w:tcPr>
            <w:tcW w:w="1559" w:type="dxa"/>
          </w:tcPr>
          <w:p w14:paraId="131BF296" w14:textId="196399CB" w:rsidR="00BB00BF" w:rsidRPr="008619D9"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2361665" w14:textId="6C3CBBA3" w:rsidR="00BB00BF" w:rsidRPr="00DB770B" w:rsidRDefault="00AC1944" w:rsidP="00BB00BF">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Please see our response to Q6</w:t>
            </w:r>
          </w:p>
        </w:tc>
        <w:tc>
          <w:tcPr>
            <w:tcW w:w="3747" w:type="dxa"/>
            <w:shd w:val="clear" w:color="auto" w:fill="E2EFD9" w:themeFill="accent6" w:themeFillTint="33"/>
          </w:tcPr>
          <w:p w14:paraId="6005F97B"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1F6D0C4F" w14:textId="77777777" w:rsidTr="005B462E">
        <w:tc>
          <w:tcPr>
            <w:tcW w:w="1730" w:type="dxa"/>
          </w:tcPr>
          <w:p w14:paraId="2901D9C7" w14:textId="1D0FB2BA" w:rsidR="00BB00BF" w:rsidRDefault="00BB00BF" w:rsidP="00BB00B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470C61BD" w14:textId="7E4842F6" w:rsidR="00BB00BF" w:rsidRPr="008619D9"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257903A3" w14:textId="77777777" w:rsidR="00503109" w:rsidRDefault="00503109" w:rsidP="00BB00BF">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 xml:space="preserve">See our response to question 6.: </w:t>
            </w:r>
          </w:p>
          <w:p w14:paraId="7B1FAD26" w14:textId="77777777" w:rsidR="00503109" w:rsidRDefault="00503109" w:rsidP="00BB00BF">
            <w:pPr>
              <w:pStyle w:val="ColumnHeading"/>
              <w:rPr>
                <w:rFonts w:asciiTheme="minorHAnsi" w:hAnsiTheme="minorHAnsi" w:cstheme="minorHAnsi"/>
                <w:b w:val="0"/>
                <w:bCs/>
                <w:sz w:val="22"/>
                <w:szCs w:val="22"/>
                <w:lang w:val="en-GB"/>
              </w:rPr>
            </w:pPr>
          </w:p>
          <w:p w14:paraId="59BEB355" w14:textId="77777777" w:rsidR="00503109" w:rsidRDefault="00503109" w:rsidP="00BB00BF">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 xml:space="preserve">We think that where a user’s MIC has been increased (by a user) to the level of their maximum demand in the last 12 months, their exceeded capacity charge should be ceased from that point onwards, given that the price signal has had the desired effect (as per Example 8 of Attachment 3). </w:t>
            </w:r>
          </w:p>
          <w:p w14:paraId="0CD31671" w14:textId="77777777" w:rsidR="00503109" w:rsidRDefault="00503109" w:rsidP="00BB00BF">
            <w:pPr>
              <w:pStyle w:val="ColumnHeading"/>
              <w:rPr>
                <w:rFonts w:asciiTheme="minorHAnsi" w:hAnsiTheme="minorHAnsi" w:cstheme="minorHAnsi"/>
                <w:b w:val="0"/>
                <w:bCs/>
                <w:sz w:val="22"/>
                <w:szCs w:val="22"/>
                <w:lang w:val="en-GB"/>
              </w:rPr>
            </w:pPr>
          </w:p>
          <w:p w14:paraId="30387234" w14:textId="77777777" w:rsidR="00503109" w:rsidRDefault="00503109" w:rsidP="00BB00BF">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lastRenderedPageBreak/>
              <w:t xml:space="preserve">However, where a user’s MIC has been reduced (by a user) following an exceedance, we consider that the user should remain liable for their exceeded capacity charge for the full 12 months, based on their previous, higher MIC (i.e. not as per Example 7). This is to preserve the price signal effect of the exceeded capacity charge. </w:t>
            </w:r>
          </w:p>
          <w:p w14:paraId="184B0FCF" w14:textId="77777777" w:rsidR="00503109" w:rsidRDefault="00503109" w:rsidP="00BB00BF">
            <w:pPr>
              <w:pStyle w:val="ColumnHeading"/>
              <w:rPr>
                <w:rFonts w:asciiTheme="minorHAnsi" w:hAnsiTheme="minorHAnsi" w:cstheme="minorHAnsi"/>
                <w:b w:val="0"/>
                <w:bCs/>
                <w:sz w:val="22"/>
                <w:szCs w:val="22"/>
                <w:lang w:val="en-GB"/>
              </w:rPr>
            </w:pPr>
          </w:p>
          <w:p w14:paraId="2449554F" w14:textId="77777777" w:rsidR="00503109" w:rsidRPr="00503109" w:rsidRDefault="00503109" w:rsidP="00BB00BF">
            <w:pPr>
              <w:pStyle w:val="ColumnHeading"/>
              <w:rPr>
                <w:rFonts w:asciiTheme="minorHAnsi" w:hAnsiTheme="minorHAnsi" w:cstheme="minorHAnsi"/>
                <w:b w:val="0"/>
                <w:bCs/>
                <w:sz w:val="22"/>
                <w:szCs w:val="22"/>
                <w:u w:val="single"/>
                <w:lang w:val="en-GB"/>
              </w:rPr>
            </w:pPr>
            <w:r w:rsidRPr="00503109">
              <w:rPr>
                <w:rFonts w:asciiTheme="minorHAnsi" w:hAnsiTheme="minorHAnsi" w:cstheme="minorHAnsi"/>
                <w:b w:val="0"/>
                <w:bCs/>
                <w:sz w:val="22"/>
                <w:szCs w:val="22"/>
                <w:u w:val="single"/>
                <w:lang w:val="en-GB"/>
              </w:rPr>
              <w:t xml:space="preserve">Legal text suggestions </w:t>
            </w:r>
          </w:p>
          <w:p w14:paraId="271CF8EF" w14:textId="77777777" w:rsidR="00503109" w:rsidRDefault="00503109" w:rsidP="00BB00BF">
            <w:pPr>
              <w:pStyle w:val="ColumnHeading"/>
              <w:rPr>
                <w:rFonts w:asciiTheme="minorHAnsi" w:hAnsiTheme="minorHAnsi" w:cstheme="minorHAnsi"/>
                <w:b w:val="0"/>
                <w:bCs/>
                <w:sz w:val="22"/>
                <w:szCs w:val="22"/>
                <w:lang w:val="en-GB"/>
              </w:rPr>
            </w:pPr>
          </w:p>
          <w:p w14:paraId="550DBF31" w14:textId="77777777" w:rsidR="00503109" w:rsidRDefault="00503109" w:rsidP="00BB00BF">
            <w:pPr>
              <w:pStyle w:val="ColumnHeading"/>
              <w:rPr>
                <w:rFonts w:asciiTheme="minorHAnsi" w:hAnsiTheme="minorHAnsi" w:cstheme="minorHAnsi"/>
                <w:b w:val="0"/>
                <w:bCs/>
                <w:sz w:val="22"/>
                <w:szCs w:val="22"/>
                <w:lang w:val="en-GB"/>
              </w:rPr>
            </w:pPr>
            <w:r w:rsidRPr="00503109">
              <w:rPr>
                <w:rFonts w:asciiTheme="minorHAnsi" w:hAnsiTheme="minorHAnsi" w:cstheme="minorHAnsi"/>
                <w:b w:val="0"/>
                <w:bCs/>
                <w:sz w:val="22"/>
                <w:szCs w:val="22"/>
                <w:lang w:val="en-GB"/>
              </w:rPr>
              <w:t xml:space="preserve">In terms of the legal text, for the first scenario (MIC increase), one could add: “Where an increased MIC has been agreed, at or above the level of the exceedance, the exceeded capacity charge in relation to that exceedance will cease. Where the increased MIC is below the level of exceedance, the exceeded capacity charge will continue to apply for the full 12 months, applying the same, unchanged, exceeded capacity charge.” </w:t>
            </w:r>
          </w:p>
          <w:p w14:paraId="63003193" w14:textId="77777777" w:rsidR="00503109" w:rsidRDefault="00503109" w:rsidP="00BB00BF">
            <w:pPr>
              <w:pStyle w:val="ColumnHeading"/>
              <w:rPr>
                <w:rFonts w:asciiTheme="minorHAnsi" w:hAnsiTheme="minorHAnsi" w:cstheme="minorHAnsi"/>
                <w:b w:val="0"/>
                <w:bCs/>
                <w:sz w:val="22"/>
                <w:szCs w:val="22"/>
                <w:lang w:val="en-GB"/>
              </w:rPr>
            </w:pPr>
          </w:p>
          <w:p w14:paraId="410E5D36" w14:textId="60B0096F" w:rsidR="00BB00BF" w:rsidRPr="00DB770B" w:rsidRDefault="00503109" w:rsidP="00BB00BF">
            <w:pPr>
              <w:pStyle w:val="ColumnHeading"/>
              <w:rPr>
                <w:rFonts w:asciiTheme="minorHAnsi" w:hAnsiTheme="minorHAnsi" w:cstheme="minorHAnsi"/>
                <w:b w:val="0"/>
                <w:bCs/>
                <w:sz w:val="22"/>
                <w:szCs w:val="22"/>
              </w:rPr>
            </w:pPr>
            <w:r w:rsidRPr="00503109">
              <w:rPr>
                <w:rFonts w:asciiTheme="minorHAnsi" w:hAnsiTheme="minorHAnsi" w:cstheme="minorHAnsi"/>
                <w:b w:val="0"/>
                <w:bCs/>
                <w:sz w:val="22"/>
                <w:szCs w:val="22"/>
                <w:lang w:val="en-GB"/>
              </w:rPr>
              <w:t>For the second scenario (MIC decrease), one could add: “Where a reduced MIC has been agreed, the exceeded capacity charge will continue to</w:t>
            </w:r>
            <w:r>
              <w:rPr>
                <w:rFonts w:asciiTheme="minorHAnsi" w:hAnsiTheme="minorHAnsi" w:cstheme="minorHAnsi"/>
                <w:b w:val="0"/>
                <w:bCs/>
                <w:sz w:val="22"/>
                <w:szCs w:val="22"/>
                <w:lang w:val="en-GB"/>
              </w:rPr>
              <w:t xml:space="preserve"> </w:t>
            </w:r>
            <w:r w:rsidRPr="00503109">
              <w:rPr>
                <w:rFonts w:asciiTheme="minorHAnsi" w:hAnsiTheme="minorHAnsi" w:cstheme="minorHAnsi"/>
                <w:b w:val="0"/>
                <w:bCs/>
                <w:sz w:val="22"/>
                <w:szCs w:val="22"/>
                <w:lang w:val="en-GB"/>
              </w:rPr>
              <w:t>apply for the full 12 months, applying the same, unchanged, exceeded capacity charge.”</w:t>
            </w:r>
          </w:p>
        </w:tc>
        <w:tc>
          <w:tcPr>
            <w:tcW w:w="3747" w:type="dxa"/>
            <w:shd w:val="clear" w:color="auto" w:fill="E2EFD9" w:themeFill="accent6" w:themeFillTint="33"/>
          </w:tcPr>
          <w:p w14:paraId="5F1ABA61"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1AFF5846" w14:textId="77777777" w:rsidTr="005B462E">
        <w:tc>
          <w:tcPr>
            <w:tcW w:w="1730" w:type="dxa"/>
          </w:tcPr>
          <w:p w14:paraId="31C21615" w14:textId="77777777" w:rsidR="00BB00BF" w:rsidRPr="001638ED"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SSEN</w:t>
            </w:r>
          </w:p>
        </w:tc>
        <w:tc>
          <w:tcPr>
            <w:tcW w:w="1559" w:type="dxa"/>
          </w:tcPr>
          <w:p w14:paraId="7DD600E9" w14:textId="75700E96" w:rsidR="00BB00BF" w:rsidRPr="001723C9" w:rsidRDefault="00BB00BF" w:rsidP="00BB00BF">
            <w:pPr>
              <w:pStyle w:val="ColumnHeading"/>
              <w:rPr>
                <w:rFonts w:asciiTheme="minorHAnsi" w:hAnsiTheme="minorHAnsi" w:cstheme="minorHAnsi"/>
                <w:b w:val="0"/>
                <w:bCs/>
                <w:sz w:val="22"/>
                <w:szCs w:val="22"/>
              </w:rPr>
            </w:pPr>
            <w:r w:rsidRPr="008619D9">
              <w:rPr>
                <w:rFonts w:asciiTheme="minorHAnsi" w:hAnsiTheme="minorHAnsi" w:cstheme="minorHAnsi"/>
                <w:b w:val="0"/>
                <w:bCs/>
                <w:sz w:val="22"/>
                <w:szCs w:val="22"/>
              </w:rPr>
              <w:t>Non-Confidential</w:t>
            </w:r>
          </w:p>
        </w:tc>
        <w:tc>
          <w:tcPr>
            <w:tcW w:w="7040" w:type="dxa"/>
          </w:tcPr>
          <w:p w14:paraId="15EDF052" w14:textId="7BEE97E8" w:rsidR="00BB00BF" w:rsidRPr="00DE2A65" w:rsidRDefault="00BB00BF" w:rsidP="00BB00BF">
            <w:pPr>
              <w:pStyle w:val="ColumnHeading"/>
              <w:rPr>
                <w:rFonts w:asciiTheme="minorHAnsi" w:hAnsiTheme="minorHAnsi" w:cstheme="minorHAnsi"/>
                <w:b w:val="0"/>
                <w:bCs/>
                <w:sz w:val="22"/>
                <w:szCs w:val="22"/>
                <w:lang w:val="en-GB"/>
              </w:rPr>
            </w:pPr>
            <w:r w:rsidRPr="00DB770B">
              <w:rPr>
                <w:rFonts w:asciiTheme="minorHAnsi" w:hAnsiTheme="minorHAnsi" w:cstheme="minorHAnsi"/>
                <w:b w:val="0"/>
                <w:bCs/>
                <w:sz w:val="22"/>
                <w:szCs w:val="22"/>
                <w:lang w:val="en-GB"/>
              </w:rPr>
              <w:t>When the MIC is recalculated (increase or decrease) any individual exceedances from the prior 11 months are no longer due.</w:t>
            </w:r>
          </w:p>
        </w:tc>
        <w:tc>
          <w:tcPr>
            <w:tcW w:w="3747" w:type="dxa"/>
            <w:shd w:val="clear" w:color="auto" w:fill="E2EFD9" w:themeFill="accent6" w:themeFillTint="33"/>
          </w:tcPr>
          <w:p w14:paraId="64292F10"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26E5B798" w14:textId="77777777" w:rsidTr="005B462E">
        <w:tc>
          <w:tcPr>
            <w:tcW w:w="1730" w:type="dxa"/>
          </w:tcPr>
          <w:p w14:paraId="50EA38A4" w14:textId="77777777"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448BC2CB" w14:textId="66EC9317" w:rsidR="00BB00BF" w:rsidRPr="001723C9" w:rsidRDefault="00BB00BF" w:rsidP="00BB00BF">
            <w:pPr>
              <w:pStyle w:val="ColumnHeading"/>
              <w:rPr>
                <w:rFonts w:asciiTheme="minorHAnsi" w:hAnsiTheme="minorHAnsi" w:cstheme="minorHAnsi"/>
                <w:b w:val="0"/>
                <w:bCs/>
                <w:sz w:val="22"/>
                <w:szCs w:val="22"/>
              </w:rPr>
            </w:pPr>
            <w:r w:rsidRPr="008619D9">
              <w:rPr>
                <w:rFonts w:asciiTheme="minorHAnsi" w:hAnsiTheme="minorHAnsi" w:cstheme="minorHAnsi"/>
                <w:b w:val="0"/>
                <w:bCs/>
                <w:sz w:val="22"/>
                <w:szCs w:val="22"/>
              </w:rPr>
              <w:t>Non-Confidential</w:t>
            </w:r>
          </w:p>
        </w:tc>
        <w:tc>
          <w:tcPr>
            <w:tcW w:w="7040" w:type="dxa"/>
          </w:tcPr>
          <w:p w14:paraId="5CFC7B4B" w14:textId="77777777" w:rsidR="00BB00BF" w:rsidRDefault="00BB00BF" w:rsidP="00BB00BF">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It would require some words along the lines of either adding</w:t>
            </w:r>
          </w:p>
          <w:p w14:paraId="4FD5B488" w14:textId="77777777" w:rsidR="00BB00BF" w:rsidRPr="005C7D70" w:rsidRDefault="00BB00BF" w:rsidP="00BB00BF">
            <w:pPr>
              <w:rPr>
                <w:lang w:val="en-GB"/>
              </w:rPr>
            </w:pPr>
          </w:p>
          <w:p w14:paraId="5D12D106" w14:textId="77777777" w:rsidR="00BB00BF" w:rsidRDefault="00BB00BF" w:rsidP="00BB00BF">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‘Where a new MIC is agreed (either an increase or decrease) then from the effective date of the new MIC no further excess capacity charges will be </w:t>
            </w:r>
            <w:r w:rsidRPr="005C7D70">
              <w:rPr>
                <w:rFonts w:asciiTheme="minorHAnsi" w:hAnsiTheme="minorHAnsi" w:cstheme="minorHAnsi"/>
                <w:b w:val="0"/>
                <w:bCs/>
                <w:sz w:val="22"/>
                <w:szCs w:val="22"/>
                <w:lang w:val="en-GB"/>
              </w:rPr>
              <w:lastRenderedPageBreak/>
              <w:t>levied, until such time as the new MIC is exceeded when any excess charges would apply from that date onwards’.</w:t>
            </w:r>
          </w:p>
          <w:p w14:paraId="26E0B6D1" w14:textId="77777777" w:rsidR="00BB00BF" w:rsidRPr="005C7D70" w:rsidRDefault="00BB00BF" w:rsidP="00BB00BF">
            <w:pPr>
              <w:rPr>
                <w:lang w:val="en-GB"/>
              </w:rPr>
            </w:pPr>
          </w:p>
          <w:p w14:paraId="35E9B8C9" w14:textId="561C71A9" w:rsidR="00BB00BF" w:rsidRDefault="00BB00BF" w:rsidP="00BB00BF">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or amending the consultation text </w:t>
            </w:r>
            <w:r>
              <w:rPr>
                <w:rFonts w:asciiTheme="minorHAnsi" w:hAnsiTheme="minorHAnsi" w:cstheme="minorHAnsi"/>
                <w:b w:val="0"/>
                <w:bCs/>
                <w:sz w:val="22"/>
                <w:szCs w:val="22"/>
                <w:lang w:val="en-GB"/>
              </w:rPr>
              <w:t>–</w:t>
            </w:r>
          </w:p>
          <w:p w14:paraId="3DE946F2" w14:textId="77777777" w:rsidR="00BB00BF" w:rsidRPr="005C7D70" w:rsidRDefault="00BB00BF" w:rsidP="00BB00BF">
            <w:pPr>
              <w:rPr>
                <w:lang w:val="en-GB"/>
              </w:rPr>
            </w:pPr>
          </w:p>
          <w:p w14:paraId="40BCD012" w14:textId="6262B62F" w:rsidR="00BB00BF" w:rsidRPr="00DE2A65" w:rsidRDefault="00BB00BF" w:rsidP="00BB00BF">
            <w:pPr>
              <w:pStyle w:val="ColumnHeading"/>
              <w:rPr>
                <w:rFonts w:asciiTheme="minorHAnsi" w:hAnsiTheme="minorHAnsi" w:cstheme="minorHAnsi"/>
                <w:b w:val="0"/>
                <w:bCs/>
                <w:sz w:val="22"/>
                <w:szCs w:val="22"/>
                <w:lang w:val="en-GB"/>
              </w:rPr>
            </w:pPr>
            <w:r w:rsidRPr="005C7D70">
              <w:rPr>
                <w:rFonts w:asciiTheme="minorHAnsi" w:hAnsiTheme="minorHAnsi" w:cstheme="minorHAnsi"/>
                <w:b w:val="0"/>
                <w:bCs/>
                <w:sz w:val="22"/>
                <w:szCs w:val="22"/>
                <w:lang w:val="en-GB"/>
              </w:rPr>
              <w:t xml:space="preserve">“Chargeable capacity = max (actual capacity utilised in that month or </w:t>
            </w:r>
            <w:r w:rsidRPr="005C7D70">
              <w:rPr>
                <w:rFonts w:asciiTheme="minorHAnsi" w:hAnsiTheme="minorHAnsi" w:cstheme="minorHAnsi"/>
                <w:b w:val="0"/>
                <w:bCs/>
                <w:color w:val="FF0000"/>
                <w:sz w:val="22"/>
                <w:szCs w:val="22"/>
                <w:u w:val="single"/>
                <w:lang w:val="en-GB"/>
              </w:rPr>
              <w:t>in any</w:t>
            </w:r>
            <w:r w:rsidRPr="005C7D70">
              <w:rPr>
                <w:rFonts w:asciiTheme="minorHAnsi" w:hAnsiTheme="minorHAnsi" w:cstheme="minorHAnsi"/>
                <w:b w:val="0"/>
                <w:bCs/>
                <w:color w:val="FF0000"/>
                <w:sz w:val="22"/>
                <w:szCs w:val="22"/>
                <w:lang w:val="en-GB"/>
              </w:rPr>
              <w:t xml:space="preserve"> </w:t>
            </w:r>
            <w:r w:rsidRPr="005C7D70">
              <w:rPr>
                <w:rFonts w:asciiTheme="minorHAnsi" w:hAnsiTheme="minorHAnsi" w:cstheme="minorHAnsi"/>
                <w:b w:val="0"/>
                <w:bCs/>
                <w:sz w:val="22"/>
                <w:szCs w:val="22"/>
                <w:lang w:val="en-GB"/>
              </w:rPr>
              <w:t xml:space="preserve">of the preceding 11 months </w:t>
            </w:r>
            <w:r w:rsidRPr="005C7D70">
              <w:rPr>
                <w:rFonts w:asciiTheme="minorHAnsi" w:hAnsiTheme="minorHAnsi" w:cstheme="minorHAnsi"/>
                <w:b w:val="0"/>
                <w:bCs/>
                <w:color w:val="FF0000"/>
                <w:sz w:val="22"/>
                <w:szCs w:val="22"/>
                <w:u w:val="single"/>
                <w:lang w:val="en-GB"/>
              </w:rPr>
              <w:t>during which the MIC value was the same</w:t>
            </w:r>
            <w:r w:rsidRPr="005C7D70">
              <w:rPr>
                <w:rFonts w:asciiTheme="minorHAnsi" w:hAnsiTheme="minorHAnsi" w:cstheme="minorHAnsi"/>
                <w:b w:val="0"/>
                <w:bCs/>
                <w:sz w:val="22"/>
                <w:szCs w:val="22"/>
                <w:lang w:val="en-GB"/>
              </w:rPr>
              <w:t>), as set out below”</w:t>
            </w:r>
          </w:p>
        </w:tc>
        <w:tc>
          <w:tcPr>
            <w:tcW w:w="3747" w:type="dxa"/>
            <w:shd w:val="clear" w:color="auto" w:fill="E2EFD9" w:themeFill="accent6" w:themeFillTint="33"/>
          </w:tcPr>
          <w:p w14:paraId="268712B7"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6EA0FA49" w14:textId="77777777" w:rsidTr="005B462E">
        <w:tc>
          <w:tcPr>
            <w:tcW w:w="14076" w:type="dxa"/>
            <w:gridSpan w:val="4"/>
            <w:shd w:val="clear" w:color="auto" w:fill="E2EFD9" w:themeFill="accent6" w:themeFillTint="33"/>
          </w:tcPr>
          <w:p w14:paraId="6BE4184D" w14:textId="77777777" w:rsidR="006158DE" w:rsidRDefault="00BB00BF"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All respondents said that the process for this needs to be clear and transparent for suppliers and customers.</w:t>
            </w:r>
          </w:p>
          <w:p w14:paraId="41538FD0" w14:textId="3CC4FB29"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It was noted by some respondents that the LC14 statements </w:t>
            </w:r>
            <w:proofErr w:type="spellStart"/>
            <w:proofErr w:type="gramStart"/>
            <w:r w:rsidRPr="006158DE">
              <w:rPr>
                <w:rFonts w:asciiTheme="minorHAnsi" w:hAnsiTheme="minorHAnsi" w:cstheme="minorHAnsi"/>
                <w:bCs/>
                <w:sz w:val="22"/>
                <w:szCs w:val="22"/>
                <w:lang w:val="en-GB"/>
              </w:rPr>
              <w:t>my</w:t>
            </w:r>
            <w:proofErr w:type="spellEnd"/>
            <w:proofErr w:type="gramEnd"/>
            <w:r w:rsidRPr="006158DE">
              <w:rPr>
                <w:rFonts w:asciiTheme="minorHAnsi" w:hAnsiTheme="minorHAnsi" w:cstheme="minorHAnsi"/>
                <w:bCs/>
                <w:sz w:val="22"/>
                <w:szCs w:val="22"/>
                <w:lang w:val="en-GB"/>
              </w:rPr>
              <w:t xml:space="preserve"> be the best place to articulate the process. </w:t>
            </w:r>
          </w:p>
          <w:p w14:paraId="55C11623" w14:textId="2BC1936F" w:rsidR="00BB00BF" w:rsidRPr="001723C9"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noted that there would need to be a section for exceptional circumstances with a full explanation of when a reset in the chargeable capacity is applicable.</w:t>
            </w:r>
          </w:p>
          <w:p w14:paraId="6B7B2756" w14:textId="77777777" w:rsidR="00BB00BF" w:rsidRPr="001723C9" w:rsidRDefault="00BB00BF" w:rsidP="00BB00BF">
            <w:pPr>
              <w:pStyle w:val="BodyText"/>
              <w:rPr>
                <w:rFonts w:asciiTheme="minorHAnsi" w:hAnsiTheme="minorHAnsi" w:cstheme="minorHAnsi"/>
                <w:bCs/>
                <w:sz w:val="22"/>
                <w:szCs w:val="22"/>
                <w:lang w:val="en-GB"/>
              </w:rPr>
            </w:pPr>
          </w:p>
        </w:tc>
      </w:tr>
    </w:tbl>
    <w:p w14:paraId="66D47441" w14:textId="77777777" w:rsidR="00102E1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723C9" w14:paraId="21095D09"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77DFD70"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67709B2F"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65FE50AF" w14:textId="77777777" w:rsidR="00102E1E" w:rsidRPr="001723C9" w:rsidRDefault="00102E1E" w:rsidP="005B462E">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686A3804" w14:textId="5FFFA27B" w:rsidR="00102E1E" w:rsidRPr="001723C9" w:rsidRDefault="00102E1E" w:rsidP="005C7D70">
            <w:pPr>
              <w:pStyle w:val="Question"/>
              <w:numPr>
                <w:ilvl w:val="0"/>
                <w:numId w:val="5"/>
              </w:numPr>
              <w:rPr>
                <w:rFonts w:asciiTheme="minorHAnsi" w:hAnsiTheme="minorHAnsi" w:cstheme="minorHAnsi"/>
                <w:b w:val="0"/>
                <w:bCs/>
                <w:sz w:val="22"/>
                <w:szCs w:val="22"/>
                <w:lang w:val="en-GB"/>
              </w:rPr>
            </w:pPr>
            <w:r w:rsidRPr="00102E1E">
              <w:rPr>
                <w:rFonts w:asciiTheme="minorHAnsi" w:hAnsiTheme="minorHAnsi" w:cstheme="minorHAnsi"/>
                <w:b w:val="0"/>
                <w:bCs/>
                <w:sz w:val="22"/>
                <w:szCs w:val="22"/>
                <w:lang w:val="en-GB"/>
              </w:rPr>
              <w:t>Do you have any additional comments for this consultation?</w:t>
            </w:r>
          </w:p>
        </w:tc>
        <w:tc>
          <w:tcPr>
            <w:tcW w:w="3747" w:type="dxa"/>
            <w:shd w:val="clear" w:color="auto" w:fill="E2EFD9" w:themeFill="accent6" w:themeFillTint="33"/>
          </w:tcPr>
          <w:p w14:paraId="4DF3E79D" w14:textId="77777777" w:rsidR="00102E1E" w:rsidRPr="001723C9"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F65952" w:rsidRPr="001723C9" w14:paraId="58F660BC" w14:textId="77777777" w:rsidTr="005B462E">
        <w:tc>
          <w:tcPr>
            <w:tcW w:w="1730" w:type="dxa"/>
          </w:tcPr>
          <w:p w14:paraId="7F42E46D" w14:textId="77777777" w:rsidR="00F65952" w:rsidRPr="00B836AA"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BUUK</w:t>
            </w:r>
          </w:p>
        </w:tc>
        <w:tc>
          <w:tcPr>
            <w:tcW w:w="1559" w:type="dxa"/>
          </w:tcPr>
          <w:p w14:paraId="444238B6" w14:textId="6FA44A75" w:rsidR="00F65952" w:rsidRPr="001723C9"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Non-Confidential</w:t>
            </w:r>
          </w:p>
        </w:tc>
        <w:tc>
          <w:tcPr>
            <w:tcW w:w="7040" w:type="dxa"/>
          </w:tcPr>
          <w:p w14:paraId="3B86758F" w14:textId="159B6B05" w:rsidR="00F65952" w:rsidRPr="00B836AA"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058C7D1"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7ED04BB9" w14:textId="77777777" w:rsidTr="005B462E">
        <w:tc>
          <w:tcPr>
            <w:tcW w:w="1730" w:type="dxa"/>
          </w:tcPr>
          <w:p w14:paraId="7EE9F4E5" w14:textId="77777777" w:rsidR="00F65952" w:rsidRPr="001E2633"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7064E4E8" w14:textId="7E22263A" w:rsidR="00F65952" w:rsidRPr="001723C9" w:rsidRDefault="00F65952" w:rsidP="00F65952">
            <w:pPr>
              <w:pStyle w:val="ColumnHeading"/>
              <w:rPr>
                <w:rFonts w:asciiTheme="minorHAnsi" w:hAnsiTheme="minorHAnsi" w:cstheme="minorHAnsi"/>
                <w:b w:val="0"/>
                <w:bCs/>
                <w:sz w:val="22"/>
                <w:szCs w:val="22"/>
              </w:rPr>
            </w:pPr>
            <w:r w:rsidRPr="00547F04">
              <w:rPr>
                <w:rFonts w:asciiTheme="minorHAnsi" w:hAnsiTheme="minorHAnsi" w:cstheme="minorHAnsi"/>
                <w:b w:val="0"/>
                <w:bCs/>
                <w:sz w:val="22"/>
                <w:szCs w:val="22"/>
              </w:rPr>
              <w:t>Non-Confidential</w:t>
            </w:r>
          </w:p>
        </w:tc>
        <w:tc>
          <w:tcPr>
            <w:tcW w:w="7040" w:type="dxa"/>
          </w:tcPr>
          <w:p w14:paraId="69AE91E3" w14:textId="459804CF" w:rsidR="00F65952" w:rsidRPr="001E2633"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691FAA2C"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314E92B4" w14:textId="77777777" w:rsidTr="005B462E">
        <w:tc>
          <w:tcPr>
            <w:tcW w:w="1730" w:type="dxa"/>
          </w:tcPr>
          <w:p w14:paraId="17F5EE12" w14:textId="77777777" w:rsidR="00F65952" w:rsidRPr="001723C9" w:rsidRDefault="00F65952"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NGED</w:t>
            </w:r>
          </w:p>
        </w:tc>
        <w:tc>
          <w:tcPr>
            <w:tcW w:w="1559" w:type="dxa"/>
          </w:tcPr>
          <w:p w14:paraId="50BAF7BD" w14:textId="7F217694" w:rsidR="00F65952" w:rsidRPr="001723C9" w:rsidRDefault="00F65952" w:rsidP="00F65952">
            <w:pPr>
              <w:pStyle w:val="ColumnHeading"/>
              <w:rPr>
                <w:rFonts w:asciiTheme="minorHAnsi" w:hAnsiTheme="minorHAnsi" w:cstheme="minorHAnsi"/>
                <w:b w:val="0"/>
                <w:bCs/>
                <w:sz w:val="22"/>
                <w:szCs w:val="22"/>
                <w:lang w:val="en-GB"/>
              </w:rPr>
            </w:pPr>
            <w:r w:rsidRPr="00547F04">
              <w:rPr>
                <w:rFonts w:asciiTheme="minorHAnsi" w:hAnsiTheme="minorHAnsi" w:cstheme="minorHAnsi"/>
                <w:b w:val="0"/>
                <w:bCs/>
                <w:sz w:val="22"/>
                <w:szCs w:val="22"/>
              </w:rPr>
              <w:t>Non-Confidential</w:t>
            </w:r>
          </w:p>
        </w:tc>
        <w:tc>
          <w:tcPr>
            <w:tcW w:w="7040" w:type="dxa"/>
          </w:tcPr>
          <w:p w14:paraId="2FBEE747" w14:textId="0C8B376F" w:rsidR="00F65952" w:rsidRPr="001723C9" w:rsidRDefault="00B35D24"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49BB4B8F" w14:textId="77777777" w:rsidR="00F65952" w:rsidRPr="001723C9" w:rsidRDefault="00F65952" w:rsidP="00F65952">
            <w:pPr>
              <w:pStyle w:val="ColumnHeading"/>
              <w:rPr>
                <w:rFonts w:asciiTheme="minorHAnsi" w:hAnsiTheme="minorHAnsi" w:cstheme="minorHAnsi"/>
                <w:b w:val="0"/>
                <w:bCs/>
                <w:sz w:val="22"/>
                <w:szCs w:val="22"/>
                <w:lang w:val="en-GB"/>
              </w:rPr>
            </w:pPr>
          </w:p>
        </w:tc>
      </w:tr>
      <w:tr w:rsidR="00F65952" w:rsidRPr="001723C9" w14:paraId="0CDAA424" w14:textId="77777777" w:rsidTr="005B462E">
        <w:tc>
          <w:tcPr>
            <w:tcW w:w="1730" w:type="dxa"/>
          </w:tcPr>
          <w:p w14:paraId="2E5ED07E" w14:textId="59120A72" w:rsidR="00F65952" w:rsidRPr="001E2633" w:rsidRDefault="00F65952" w:rsidP="00F65952">
            <w:pPr>
              <w:pStyle w:val="ColumnHeading"/>
              <w:rPr>
                <w:rFonts w:asciiTheme="minorHAnsi" w:hAnsiTheme="minorHAnsi" w:cstheme="minorHAnsi"/>
                <w:b w:val="0"/>
                <w:bCs/>
                <w:sz w:val="22"/>
                <w:szCs w:val="22"/>
                <w:lang w:val="en-GB"/>
              </w:rPr>
            </w:pPr>
            <w:proofErr w:type="spellStart"/>
            <w:r>
              <w:rPr>
                <w:rFonts w:asciiTheme="minorHAnsi" w:hAnsiTheme="minorHAnsi" w:cstheme="minorHAnsi"/>
                <w:b w:val="0"/>
                <w:bCs/>
                <w:sz w:val="22"/>
                <w:szCs w:val="22"/>
                <w:lang w:val="en-GB"/>
              </w:rPr>
              <w:t>NPg</w:t>
            </w:r>
            <w:proofErr w:type="spellEnd"/>
          </w:p>
        </w:tc>
        <w:tc>
          <w:tcPr>
            <w:tcW w:w="1559" w:type="dxa"/>
          </w:tcPr>
          <w:p w14:paraId="06714818" w14:textId="41CF012E" w:rsidR="00F65952" w:rsidRPr="001723C9" w:rsidRDefault="00F65952" w:rsidP="00F65952">
            <w:pPr>
              <w:pStyle w:val="ColumnHeading"/>
              <w:rPr>
                <w:rFonts w:asciiTheme="minorHAnsi" w:hAnsiTheme="minorHAnsi" w:cstheme="minorHAnsi"/>
                <w:b w:val="0"/>
                <w:bCs/>
                <w:sz w:val="22"/>
                <w:szCs w:val="22"/>
              </w:rPr>
            </w:pPr>
            <w:r w:rsidRPr="00547F04">
              <w:rPr>
                <w:rFonts w:asciiTheme="minorHAnsi" w:hAnsiTheme="minorHAnsi" w:cstheme="minorHAnsi"/>
                <w:b w:val="0"/>
                <w:bCs/>
                <w:sz w:val="22"/>
                <w:szCs w:val="22"/>
              </w:rPr>
              <w:t>Non-Confidential</w:t>
            </w:r>
          </w:p>
        </w:tc>
        <w:tc>
          <w:tcPr>
            <w:tcW w:w="7040" w:type="dxa"/>
          </w:tcPr>
          <w:p w14:paraId="28B8BE2B" w14:textId="77777777" w:rsidR="00023295"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It would be helpful to see some kind of quantification of the size of the issue. Both in terms of the number of sites exceeding their capacity and the number of sites exceeding on a </w:t>
            </w:r>
            <w:proofErr w:type="gramStart"/>
            <w:r w:rsidRPr="00023295">
              <w:rPr>
                <w:rFonts w:asciiTheme="minorHAnsi" w:hAnsiTheme="minorHAnsi" w:cstheme="minorHAnsi"/>
                <w:b w:val="0"/>
                <w:sz w:val="22"/>
                <w:szCs w:val="22"/>
                <w:lang w:val="en-GB"/>
              </w:rPr>
              <w:t>long term</w:t>
            </w:r>
            <w:proofErr w:type="gramEnd"/>
            <w:r w:rsidRPr="00023295">
              <w:rPr>
                <w:rFonts w:asciiTheme="minorHAnsi" w:hAnsiTheme="minorHAnsi" w:cstheme="minorHAnsi"/>
                <w:b w:val="0"/>
                <w:sz w:val="22"/>
                <w:szCs w:val="22"/>
                <w:lang w:val="en-GB"/>
              </w:rPr>
              <w:t xml:space="preserve"> basis so that the necessity to change to either charging based on the </w:t>
            </w:r>
            <w:proofErr w:type="gramStart"/>
            <w:r w:rsidRPr="00023295">
              <w:rPr>
                <w:rFonts w:asciiTheme="minorHAnsi" w:hAnsiTheme="minorHAnsi" w:cstheme="minorHAnsi"/>
                <w:b w:val="0"/>
                <w:sz w:val="22"/>
                <w:szCs w:val="22"/>
                <w:lang w:val="en-GB"/>
              </w:rPr>
              <w:t>12 month</w:t>
            </w:r>
            <w:proofErr w:type="gramEnd"/>
            <w:r w:rsidRPr="00023295">
              <w:rPr>
                <w:rFonts w:asciiTheme="minorHAnsi" w:hAnsiTheme="minorHAnsi" w:cstheme="minorHAnsi"/>
                <w:b w:val="0"/>
                <w:sz w:val="22"/>
                <w:szCs w:val="22"/>
                <w:lang w:val="en-GB"/>
              </w:rPr>
              <w:t xml:space="preserve"> MD or reintroducing a differential between the capacity and excess capacity tariffs can be understood. It could also be helpful to see if the introduction of the differential between the capacity and excess capacity caused a reduction in the number of sites exceeding their MIC, either on a </w:t>
            </w:r>
            <w:proofErr w:type="gramStart"/>
            <w:r w:rsidRPr="00023295">
              <w:rPr>
                <w:rFonts w:asciiTheme="minorHAnsi" w:hAnsiTheme="minorHAnsi" w:cstheme="minorHAnsi"/>
                <w:b w:val="0"/>
                <w:sz w:val="22"/>
                <w:szCs w:val="22"/>
                <w:lang w:val="en-GB"/>
              </w:rPr>
              <w:t>short or long term</w:t>
            </w:r>
            <w:proofErr w:type="gramEnd"/>
            <w:r w:rsidRPr="00023295">
              <w:rPr>
                <w:rFonts w:asciiTheme="minorHAnsi" w:hAnsiTheme="minorHAnsi" w:cstheme="minorHAnsi"/>
                <w:b w:val="0"/>
                <w:sz w:val="22"/>
                <w:szCs w:val="22"/>
                <w:lang w:val="en-GB"/>
              </w:rPr>
              <w:t xml:space="preserve"> basis.</w:t>
            </w:r>
          </w:p>
          <w:p w14:paraId="1AA89BF3" w14:textId="77777777" w:rsidR="00023295" w:rsidRPr="00023295" w:rsidRDefault="00023295" w:rsidP="00023295">
            <w:pPr>
              <w:rPr>
                <w:lang w:val="en-GB"/>
              </w:rPr>
            </w:pPr>
          </w:p>
          <w:p w14:paraId="42E77DC9" w14:textId="5264392F" w:rsidR="00F65952" w:rsidRPr="001E2633" w:rsidRDefault="00023295" w:rsidP="00023295">
            <w:pPr>
              <w:pStyle w:val="ColumnHeading"/>
              <w:rPr>
                <w:rFonts w:asciiTheme="minorHAnsi" w:hAnsiTheme="minorHAnsi" w:cstheme="minorHAnsi"/>
                <w:b w:val="0"/>
                <w:sz w:val="22"/>
                <w:szCs w:val="22"/>
                <w:lang w:val="en-GB"/>
              </w:rPr>
            </w:pPr>
            <w:r w:rsidRPr="00023295">
              <w:rPr>
                <w:rFonts w:asciiTheme="minorHAnsi" w:hAnsiTheme="minorHAnsi" w:cstheme="minorHAnsi"/>
                <w:b w:val="0"/>
                <w:sz w:val="22"/>
                <w:szCs w:val="22"/>
                <w:lang w:val="en-GB"/>
              </w:rPr>
              <w:t xml:space="preserve">There was an RFI for DCP 161 which introduced the differential between the capacity and excess capacity tariffs. It could be of use to compare any current data with the data from this RFI, if it is available, to identify any changes in behaviour which came about </w:t>
            </w:r>
            <w:proofErr w:type="gramStart"/>
            <w:r w:rsidRPr="00023295">
              <w:rPr>
                <w:rFonts w:asciiTheme="minorHAnsi" w:hAnsiTheme="minorHAnsi" w:cstheme="minorHAnsi"/>
                <w:b w:val="0"/>
                <w:sz w:val="22"/>
                <w:szCs w:val="22"/>
                <w:lang w:val="en-GB"/>
              </w:rPr>
              <w:t>as a result of</w:t>
            </w:r>
            <w:proofErr w:type="gramEnd"/>
            <w:r w:rsidRPr="00023295">
              <w:rPr>
                <w:rFonts w:asciiTheme="minorHAnsi" w:hAnsiTheme="minorHAnsi" w:cstheme="minorHAnsi"/>
                <w:b w:val="0"/>
                <w:sz w:val="22"/>
                <w:szCs w:val="22"/>
                <w:lang w:val="en-GB"/>
              </w:rPr>
              <w:t xml:space="preserve"> DCP 161. Issuing the same RFI again could mean that the data is directly comparable.</w:t>
            </w:r>
          </w:p>
        </w:tc>
        <w:tc>
          <w:tcPr>
            <w:tcW w:w="3747" w:type="dxa"/>
            <w:shd w:val="clear" w:color="auto" w:fill="E2EFD9" w:themeFill="accent6" w:themeFillTint="33"/>
          </w:tcPr>
          <w:p w14:paraId="45D16348" w14:textId="77777777" w:rsidR="00F65952" w:rsidRPr="001723C9" w:rsidRDefault="00F65952" w:rsidP="00F65952">
            <w:pPr>
              <w:pStyle w:val="ColumnHeading"/>
              <w:rPr>
                <w:rFonts w:asciiTheme="minorHAnsi" w:hAnsiTheme="minorHAnsi" w:cstheme="minorHAnsi"/>
                <w:b w:val="0"/>
                <w:bCs/>
                <w:sz w:val="22"/>
                <w:szCs w:val="22"/>
              </w:rPr>
            </w:pPr>
          </w:p>
        </w:tc>
      </w:tr>
      <w:tr w:rsidR="00F65952" w:rsidRPr="001723C9" w14:paraId="66A45967" w14:textId="77777777" w:rsidTr="005B462E">
        <w:tc>
          <w:tcPr>
            <w:tcW w:w="1730" w:type="dxa"/>
          </w:tcPr>
          <w:p w14:paraId="3AD7AA88" w14:textId="77777777" w:rsidR="00F65952" w:rsidRDefault="00F65952"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7EB5F8BF" w14:textId="3D6D0D77" w:rsidR="00F65952" w:rsidRPr="001723C9" w:rsidRDefault="00F65952" w:rsidP="00F65952">
            <w:pPr>
              <w:pStyle w:val="ColumnHeading"/>
              <w:rPr>
                <w:rFonts w:asciiTheme="minorHAnsi" w:hAnsiTheme="minorHAnsi" w:cstheme="minorHAnsi"/>
                <w:b w:val="0"/>
                <w:bCs/>
                <w:sz w:val="22"/>
                <w:szCs w:val="22"/>
              </w:rPr>
            </w:pPr>
            <w:r w:rsidRPr="00547F04">
              <w:rPr>
                <w:rFonts w:asciiTheme="minorHAnsi" w:hAnsiTheme="minorHAnsi" w:cstheme="minorHAnsi"/>
                <w:b w:val="0"/>
                <w:bCs/>
                <w:sz w:val="22"/>
                <w:szCs w:val="22"/>
              </w:rPr>
              <w:t>Non-Confidential</w:t>
            </w:r>
          </w:p>
        </w:tc>
        <w:tc>
          <w:tcPr>
            <w:tcW w:w="7040" w:type="dxa"/>
          </w:tcPr>
          <w:p w14:paraId="2614B352" w14:textId="1C6F8F14" w:rsidR="00F65952" w:rsidRPr="0093655A" w:rsidRDefault="00DB770B" w:rsidP="00F65952">
            <w:pPr>
              <w:pStyle w:val="ColumnHeading"/>
              <w:rPr>
                <w:rFonts w:asciiTheme="minorHAnsi" w:hAnsiTheme="minorHAnsi" w:cstheme="minorHAnsi"/>
                <w:b w:val="0"/>
                <w:sz w:val="22"/>
                <w:szCs w:val="22"/>
              </w:rPr>
            </w:pPr>
            <w:r>
              <w:rPr>
                <w:rFonts w:asciiTheme="minorHAnsi" w:hAnsiTheme="minorHAnsi" w:cstheme="minorHAnsi"/>
                <w:b w:val="0"/>
                <w:sz w:val="22"/>
                <w:szCs w:val="22"/>
              </w:rPr>
              <w:t>None.</w:t>
            </w:r>
          </w:p>
        </w:tc>
        <w:tc>
          <w:tcPr>
            <w:tcW w:w="3747" w:type="dxa"/>
            <w:shd w:val="clear" w:color="auto" w:fill="E2EFD9" w:themeFill="accent6" w:themeFillTint="33"/>
          </w:tcPr>
          <w:p w14:paraId="0330150E" w14:textId="77777777" w:rsidR="00F65952" w:rsidRPr="001723C9" w:rsidRDefault="00F65952" w:rsidP="00F65952">
            <w:pPr>
              <w:pStyle w:val="ColumnHeading"/>
              <w:rPr>
                <w:rFonts w:asciiTheme="minorHAnsi" w:hAnsiTheme="minorHAnsi" w:cstheme="minorHAnsi"/>
                <w:b w:val="0"/>
                <w:bCs/>
                <w:sz w:val="22"/>
                <w:szCs w:val="22"/>
              </w:rPr>
            </w:pPr>
          </w:p>
        </w:tc>
      </w:tr>
      <w:tr w:rsidR="00BB00BF" w:rsidRPr="001723C9" w14:paraId="1689362B" w14:textId="77777777" w:rsidTr="005B462E">
        <w:tc>
          <w:tcPr>
            <w:tcW w:w="1730" w:type="dxa"/>
          </w:tcPr>
          <w:p w14:paraId="33ACF65B" w14:textId="320ADA0C" w:rsidR="00BB00BF" w:rsidRDefault="00BB00BF" w:rsidP="00BB00B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Business</w:t>
            </w:r>
          </w:p>
        </w:tc>
        <w:tc>
          <w:tcPr>
            <w:tcW w:w="1559" w:type="dxa"/>
          </w:tcPr>
          <w:p w14:paraId="0D73E252" w14:textId="655BD0C7" w:rsidR="00BB00BF" w:rsidRPr="00547F04"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31BE0E6D" w14:textId="7CE43790" w:rsidR="00BB00BF" w:rsidRDefault="00AC1944" w:rsidP="00BB00BF">
            <w:pPr>
              <w:pStyle w:val="ColumnHeading"/>
              <w:rPr>
                <w:rFonts w:asciiTheme="minorHAnsi" w:hAnsiTheme="minorHAnsi" w:cstheme="minorHAnsi"/>
                <w:b w:val="0"/>
                <w:bCs/>
                <w:sz w:val="22"/>
                <w:szCs w:val="22"/>
              </w:rPr>
            </w:pPr>
            <w:r w:rsidRPr="00AC1944">
              <w:rPr>
                <w:rFonts w:asciiTheme="minorHAnsi" w:hAnsiTheme="minorHAnsi" w:cstheme="minorHAnsi"/>
                <w:b w:val="0"/>
                <w:bCs/>
                <w:sz w:val="22"/>
                <w:szCs w:val="22"/>
                <w:lang w:val="en-GB"/>
              </w:rPr>
              <w:t xml:space="preserve">Not </w:t>
            </w:r>
            <w:proofErr w:type="gramStart"/>
            <w:r w:rsidRPr="00AC1944">
              <w:rPr>
                <w:rFonts w:asciiTheme="minorHAnsi" w:hAnsiTheme="minorHAnsi" w:cstheme="minorHAnsi"/>
                <w:b w:val="0"/>
                <w:bCs/>
                <w:sz w:val="22"/>
                <w:szCs w:val="22"/>
                <w:lang w:val="en-GB"/>
              </w:rPr>
              <w:t>at this time</w:t>
            </w:r>
            <w:proofErr w:type="gramEnd"/>
            <w:r w:rsidRPr="00AC1944">
              <w:rPr>
                <w:rFonts w:asciiTheme="minorHAnsi" w:hAnsiTheme="minorHAnsi" w:cstheme="minorHAnsi"/>
                <w:b w:val="0"/>
                <w:bCs/>
                <w:sz w:val="22"/>
                <w:szCs w:val="22"/>
                <w:lang w:val="en-GB"/>
              </w:rPr>
              <w:t>.</w:t>
            </w:r>
          </w:p>
        </w:tc>
        <w:tc>
          <w:tcPr>
            <w:tcW w:w="3747" w:type="dxa"/>
            <w:shd w:val="clear" w:color="auto" w:fill="E2EFD9" w:themeFill="accent6" w:themeFillTint="33"/>
          </w:tcPr>
          <w:p w14:paraId="633C2CA2"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2C0B0A04" w14:textId="77777777" w:rsidTr="005B462E">
        <w:tc>
          <w:tcPr>
            <w:tcW w:w="1730" w:type="dxa"/>
          </w:tcPr>
          <w:p w14:paraId="38143EED" w14:textId="0E655B01" w:rsidR="00BB00BF" w:rsidRDefault="00BB00BF" w:rsidP="00BB00B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 Generation</w:t>
            </w:r>
          </w:p>
        </w:tc>
        <w:tc>
          <w:tcPr>
            <w:tcW w:w="1559" w:type="dxa"/>
          </w:tcPr>
          <w:p w14:paraId="7BBEE1FC" w14:textId="616100BD" w:rsidR="00BB00BF" w:rsidRPr="00547F04" w:rsidRDefault="00BB00BF" w:rsidP="00BB00BF">
            <w:pPr>
              <w:pStyle w:val="ColumnHeading"/>
              <w:rPr>
                <w:rFonts w:asciiTheme="minorHAnsi" w:hAnsiTheme="minorHAnsi" w:cstheme="minorHAnsi"/>
                <w:b w:val="0"/>
                <w:bCs/>
                <w:sz w:val="22"/>
                <w:szCs w:val="22"/>
              </w:rPr>
            </w:pPr>
            <w:r w:rsidRPr="00ED4298">
              <w:rPr>
                <w:rFonts w:asciiTheme="minorHAnsi" w:hAnsiTheme="minorHAnsi" w:cstheme="minorHAnsi"/>
                <w:b w:val="0"/>
                <w:bCs/>
                <w:sz w:val="22"/>
                <w:szCs w:val="22"/>
              </w:rPr>
              <w:t>Non-Confidential</w:t>
            </w:r>
          </w:p>
        </w:tc>
        <w:tc>
          <w:tcPr>
            <w:tcW w:w="7040" w:type="dxa"/>
          </w:tcPr>
          <w:p w14:paraId="64F08338" w14:textId="39DB4370" w:rsidR="00BB00BF" w:rsidRDefault="00503109" w:rsidP="00BB00BF">
            <w:pPr>
              <w:pStyle w:val="ColumnHeading"/>
              <w:rPr>
                <w:rFonts w:asciiTheme="minorHAnsi" w:hAnsiTheme="minorHAnsi" w:cstheme="minorHAnsi"/>
                <w:b w:val="0"/>
                <w:bCs/>
                <w:sz w:val="22"/>
                <w:szCs w:val="22"/>
              </w:rPr>
            </w:pPr>
            <w:r w:rsidRPr="00503109">
              <w:rPr>
                <w:rFonts w:asciiTheme="minorHAnsi" w:hAnsiTheme="minorHAnsi" w:cstheme="minorHAnsi"/>
                <w:b w:val="0"/>
                <w:bCs/>
                <w:sz w:val="22"/>
                <w:szCs w:val="22"/>
                <w:lang w:val="en-GB"/>
              </w:rPr>
              <w:t>We have no additional comments at this point.</w:t>
            </w:r>
          </w:p>
        </w:tc>
        <w:tc>
          <w:tcPr>
            <w:tcW w:w="3747" w:type="dxa"/>
            <w:shd w:val="clear" w:color="auto" w:fill="E2EFD9" w:themeFill="accent6" w:themeFillTint="33"/>
          </w:tcPr>
          <w:p w14:paraId="79E6F327"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0CFB1220" w14:textId="77777777" w:rsidTr="005B462E">
        <w:tc>
          <w:tcPr>
            <w:tcW w:w="1730" w:type="dxa"/>
          </w:tcPr>
          <w:p w14:paraId="4A06C1C6" w14:textId="77777777" w:rsidR="00BB00BF" w:rsidRPr="001638ED"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SSEN</w:t>
            </w:r>
          </w:p>
        </w:tc>
        <w:tc>
          <w:tcPr>
            <w:tcW w:w="1559" w:type="dxa"/>
          </w:tcPr>
          <w:p w14:paraId="0044B55B" w14:textId="1BAA5A36" w:rsidR="00BB00BF" w:rsidRPr="001723C9" w:rsidRDefault="00BB00BF" w:rsidP="00BB00BF">
            <w:pPr>
              <w:pStyle w:val="ColumnHeading"/>
              <w:rPr>
                <w:rFonts w:asciiTheme="minorHAnsi" w:hAnsiTheme="minorHAnsi" w:cstheme="minorHAnsi"/>
                <w:b w:val="0"/>
                <w:bCs/>
                <w:sz w:val="22"/>
                <w:szCs w:val="22"/>
              </w:rPr>
            </w:pPr>
            <w:r w:rsidRPr="00547F04">
              <w:rPr>
                <w:rFonts w:asciiTheme="minorHAnsi" w:hAnsiTheme="minorHAnsi" w:cstheme="minorHAnsi"/>
                <w:b w:val="0"/>
                <w:bCs/>
                <w:sz w:val="22"/>
                <w:szCs w:val="22"/>
              </w:rPr>
              <w:t>Non-Confidential</w:t>
            </w:r>
          </w:p>
        </w:tc>
        <w:tc>
          <w:tcPr>
            <w:tcW w:w="7040" w:type="dxa"/>
          </w:tcPr>
          <w:p w14:paraId="66EE112A" w14:textId="6B1266AF"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56155F6F"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5AB93D38" w14:textId="77777777" w:rsidTr="005B462E">
        <w:tc>
          <w:tcPr>
            <w:tcW w:w="1730" w:type="dxa"/>
          </w:tcPr>
          <w:p w14:paraId="16F2FF37" w14:textId="77777777"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UKPN</w:t>
            </w:r>
          </w:p>
        </w:tc>
        <w:tc>
          <w:tcPr>
            <w:tcW w:w="1559" w:type="dxa"/>
          </w:tcPr>
          <w:p w14:paraId="03358D31" w14:textId="71538422" w:rsidR="00BB00BF" w:rsidRPr="001723C9" w:rsidRDefault="00BB00BF" w:rsidP="00BB00BF">
            <w:pPr>
              <w:pStyle w:val="ColumnHeading"/>
              <w:rPr>
                <w:rFonts w:asciiTheme="minorHAnsi" w:hAnsiTheme="minorHAnsi" w:cstheme="minorHAnsi"/>
                <w:b w:val="0"/>
                <w:bCs/>
                <w:sz w:val="22"/>
                <w:szCs w:val="22"/>
              </w:rPr>
            </w:pPr>
            <w:r w:rsidRPr="00547F04">
              <w:rPr>
                <w:rFonts w:asciiTheme="minorHAnsi" w:hAnsiTheme="minorHAnsi" w:cstheme="minorHAnsi"/>
                <w:b w:val="0"/>
                <w:bCs/>
                <w:sz w:val="22"/>
                <w:szCs w:val="22"/>
              </w:rPr>
              <w:t>Non-Confidential</w:t>
            </w:r>
          </w:p>
        </w:tc>
        <w:tc>
          <w:tcPr>
            <w:tcW w:w="7040" w:type="dxa"/>
          </w:tcPr>
          <w:p w14:paraId="38764AB9" w14:textId="1DCEB36B" w:rsidR="00BB00BF" w:rsidRPr="00DE2A65" w:rsidRDefault="00BB00BF" w:rsidP="00BB00B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2D1D5E59" w14:textId="77777777" w:rsidR="00BB00BF" w:rsidRPr="001723C9" w:rsidRDefault="00BB00BF" w:rsidP="00BB00BF">
            <w:pPr>
              <w:pStyle w:val="ColumnHeading"/>
              <w:rPr>
                <w:rFonts w:asciiTheme="minorHAnsi" w:hAnsiTheme="minorHAnsi" w:cstheme="minorHAnsi"/>
                <w:b w:val="0"/>
                <w:bCs/>
                <w:sz w:val="22"/>
                <w:szCs w:val="22"/>
              </w:rPr>
            </w:pPr>
          </w:p>
        </w:tc>
      </w:tr>
      <w:tr w:rsidR="00BB00BF" w:rsidRPr="001723C9" w14:paraId="331DF6F0" w14:textId="77777777" w:rsidTr="005B462E">
        <w:tc>
          <w:tcPr>
            <w:tcW w:w="14076" w:type="dxa"/>
            <w:gridSpan w:val="4"/>
            <w:shd w:val="clear" w:color="auto" w:fill="E2EFD9" w:themeFill="accent6" w:themeFillTint="33"/>
          </w:tcPr>
          <w:p w14:paraId="554DAC91" w14:textId="77777777" w:rsidR="006158DE" w:rsidRPr="006158DE" w:rsidRDefault="00BB00BF" w:rsidP="006158DE">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6158DE" w:rsidRPr="006158DE">
              <w:rPr>
                <w:rFonts w:asciiTheme="minorHAnsi" w:hAnsiTheme="minorHAnsi" w:cstheme="minorHAnsi"/>
                <w:bCs/>
                <w:sz w:val="22"/>
                <w:szCs w:val="22"/>
                <w:lang w:val="en-GB"/>
              </w:rPr>
              <w:t xml:space="preserve">Eight responders offered no further comment. </w:t>
            </w:r>
          </w:p>
          <w:p w14:paraId="1FE222BA" w14:textId="18864075" w:rsidR="006158DE" w:rsidRPr="006158DE" w:rsidRDefault="006158DE" w:rsidP="006158DE">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One responder noted that it would be helpful to see some kind of quantification of the size of the issue. Both in terms of the number of sites exceeding their capacity and the number of sites exceeding on a long-term basis.</w:t>
            </w:r>
          </w:p>
          <w:p w14:paraId="1B33F3D5" w14:textId="716397A0" w:rsidR="00BB00BF" w:rsidRPr="001723C9" w:rsidRDefault="006158DE" w:rsidP="00BB00BF">
            <w:pPr>
              <w:pStyle w:val="BodyText"/>
              <w:rPr>
                <w:rFonts w:asciiTheme="minorHAnsi" w:hAnsiTheme="minorHAnsi" w:cstheme="minorHAnsi"/>
                <w:bCs/>
                <w:sz w:val="22"/>
                <w:szCs w:val="22"/>
                <w:lang w:val="en-GB"/>
              </w:rPr>
            </w:pPr>
            <w:r w:rsidRPr="006158DE">
              <w:rPr>
                <w:rFonts w:asciiTheme="minorHAnsi" w:hAnsiTheme="minorHAnsi" w:cstheme="minorHAnsi"/>
                <w:bCs/>
                <w:sz w:val="22"/>
                <w:szCs w:val="22"/>
                <w:lang w:val="en-GB"/>
              </w:rPr>
              <w:t xml:space="preserve">They highlighted that there was an RFI for DCP 161 which introduced the differential between the capacity and excess capacity tariffs, and that a similar RFI could be issued for recent data. This RFIs data could then be used to compare any current data with the data from DCP 161, if it is available, to identify any changes in behaviour which came about </w:t>
            </w:r>
            <w:proofErr w:type="gramStart"/>
            <w:r w:rsidRPr="006158DE">
              <w:rPr>
                <w:rFonts w:asciiTheme="minorHAnsi" w:hAnsiTheme="minorHAnsi" w:cstheme="minorHAnsi"/>
                <w:bCs/>
                <w:sz w:val="22"/>
                <w:szCs w:val="22"/>
                <w:lang w:val="en-GB"/>
              </w:rPr>
              <w:t>as a result of</w:t>
            </w:r>
            <w:proofErr w:type="gramEnd"/>
            <w:r w:rsidRPr="006158DE">
              <w:rPr>
                <w:rFonts w:asciiTheme="minorHAnsi" w:hAnsiTheme="minorHAnsi" w:cstheme="minorHAnsi"/>
                <w:bCs/>
                <w:sz w:val="22"/>
                <w:szCs w:val="22"/>
                <w:lang w:val="en-GB"/>
              </w:rPr>
              <w:t xml:space="preserve"> DCP 161. Issuing the same RFI again could mean that the data is directly comparable.</w:t>
            </w:r>
          </w:p>
        </w:tc>
      </w:tr>
    </w:tbl>
    <w:p w14:paraId="66946F48" w14:textId="77777777" w:rsidR="00102E1E" w:rsidRPr="001723C9" w:rsidRDefault="00102E1E" w:rsidP="002E69E1">
      <w:pPr>
        <w:rPr>
          <w:rFonts w:cstheme="minorHAnsi"/>
          <w:bCs/>
        </w:rPr>
      </w:pPr>
    </w:p>
    <w:sectPr w:rsidR="00102E1E" w:rsidRPr="001723C9"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A7237" w14:textId="77777777" w:rsidR="00A41C2D" w:rsidRDefault="00A41C2D" w:rsidP="005023A8">
      <w:pPr>
        <w:spacing w:after="0" w:line="240" w:lineRule="auto"/>
      </w:pPr>
      <w:r>
        <w:separator/>
      </w:r>
    </w:p>
  </w:endnote>
  <w:endnote w:type="continuationSeparator" w:id="0">
    <w:p w14:paraId="16009E2B" w14:textId="77777777" w:rsidR="00A41C2D" w:rsidRDefault="00A41C2D"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266D" w14:textId="77777777" w:rsidR="00A41C2D" w:rsidRDefault="00A41C2D" w:rsidP="005023A8">
      <w:pPr>
        <w:spacing w:after="0" w:line="240" w:lineRule="auto"/>
      </w:pPr>
      <w:r>
        <w:separator/>
      </w:r>
    </w:p>
  </w:footnote>
  <w:footnote w:type="continuationSeparator" w:id="0">
    <w:p w14:paraId="3113D41E" w14:textId="77777777" w:rsidR="00A41C2D" w:rsidRDefault="00A41C2D"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362E0EDA" w:rsidR="009F000F" w:rsidRDefault="00912954" w:rsidP="00160FB4">
    <w:pPr>
      <w:pStyle w:val="Subtitle"/>
      <w:spacing w:line="360" w:lineRule="auto"/>
      <w:jc w:val="center"/>
      <w:rPr>
        <w:b/>
      </w:rPr>
    </w:pPr>
    <w:r w:rsidRPr="009343E3">
      <w:rPr>
        <w:b/>
      </w:rPr>
      <w:t xml:space="preserve">DCP </w:t>
    </w:r>
    <w:r w:rsidR="009F000F">
      <w:rPr>
        <w:b/>
      </w:rPr>
      <w:t>4</w:t>
    </w:r>
    <w:r w:rsidR="00D4143D">
      <w:rPr>
        <w:b/>
      </w:rPr>
      <w:t>43</w:t>
    </w:r>
  </w:p>
  <w:p w14:paraId="58E180CF" w14:textId="2A391B68" w:rsidR="00843F40" w:rsidRDefault="00912954" w:rsidP="00160FB4">
    <w:pPr>
      <w:pStyle w:val="Subtitle"/>
      <w:spacing w:line="360" w:lineRule="auto"/>
      <w:jc w:val="center"/>
      <w:rPr>
        <w:b/>
      </w:rPr>
    </w:pPr>
    <w:r>
      <w:rPr>
        <w:b/>
      </w:rPr>
      <w:t>‘</w:t>
    </w:r>
    <w:r w:rsidR="00D4143D">
      <w:rPr>
        <w:b/>
      </w:rPr>
      <w:t>Excess Capacity</w:t>
    </w:r>
    <w:r w:rsidR="0025707C">
      <w:rPr>
        <w:b/>
      </w:rPr>
      <w:t>’</w:t>
    </w:r>
    <w:r w:rsidR="00C32F41" w:rsidRPr="00C32F41">
      <w:rPr>
        <w:b/>
      </w:rPr>
      <w:t xml:space="preserve"> </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5"/>
  </w:num>
  <w:num w:numId="3" w16cid:durableId="532497092">
    <w:abstractNumId w:val="8"/>
  </w:num>
  <w:num w:numId="4" w16cid:durableId="386488825">
    <w:abstractNumId w:val="1"/>
  </w:num>
  <w:num w:numId="5" w16cid:durableId="1494830009">
    <w:abstractNumId w:val="4"/>
  </w:num>
  <w:num w:numId="6" w16cid:durableId="1341161279">
    <w:abstractNumId w:val="2"/>
  </w:num>
  <w:num w:numId="7" w16cid:durableId="320159593">
    <w:abstractNumId w:val="3"/>
  </w:num>
  <w:num w:numId="8" w16cid:durableId="87892807">
    <w:abstractNumId w:val="7"/>
  </w:num>
  <w:num w:numId="9" w16cid:durableId="120948785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65690"/>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CF9"/>
    <w:rsid w:val="000C7D95"/>
    <w:rsid w:val="000D1450"/>
    <w:rsid w:val="000D5D10"/>
    <w:rsid w:val="000E134B"/>
    <w:rsid w:val="000E4723"/>
    <w:rsid w:val="000F4728"/>
    <w:rsid w:val="000F5BD2"/>
    <w:rsid w:val="000F5CBE"/>
    <w:rsid w:val="000F66DD"/>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23C9"/>
    <w:rsid w:val="001776A6"/>
    <w:rsid w:val="00180279"/>
    <w:rsid w:val="001802AD"/>
    <w:rsid w:val="00180C23"/>
    <w:rsid w:val="00182DC4"/>
    <w:rsid w:val="001847B8"/>
    <w:rsid w:val="00191451"/>
    <w:rsid w:val="001929B0"/>
    <w:rsid w:val="001935EF"/>
    <w:rsid w:val="0019512B"/>
    <w:rsid w:val="00197E33"/>
    <w:rsid w:val="001A053E"/>
    <w:rsid w:val="001A1CF6"/>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1792"/>
    <w:rsid w:val="003121B5"/>
    <w:rsid w:val="00315E08"/>
    <w:rsid w:val="003172E8"/>
    <w:rsid w:val="00320B90"/>
    <w:rsid w:val="00321C0F"/>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7672"/>
    <w:rsid w:val="003A0B18"/>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F1192"/>
    <w:rsid w:val="003F4EDF"/>
    <w:rsid w:val="003F77E3"/>
    <w:rsid w:val="0040025A"/>
    <w:rsid w:val="004025AE"/>
    <w:rsid w:val="00402E71"/>
    <w:rsid w:val="0040552A"/>
    <w:rsid w:val="0040666B"/>
    <w:rsid w:val="00412AB6"/>
    <w:rsid w:val="00415599"/>
    <w:rsid w:val="00421520"/>
    <w:rsid w:val="004316DF"/>
    <w:rsid w:val="004435E6"/>
    <w:rsid w:val="00445384"/>
    <w:rsid w:val="00445885"/>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813"/>
    <w:rsid w:val="00510044"/>
    <w:rsid w:val="0051227C"/>
    <w:rsid w:val="00512D0A"/>
    <w:rsid w:val="00514209"/>
    <w:rsid w:val="00514CAF"/>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1A34"/>
    <w:rsid w:val="005D1F5A"/>
    <w:rsid w:val="005D3646"/>
    <w:rsid w:val="005E015D"/>
    <w:rsid w:val="005E07F8"/>
    <w:rsid w:val="005E1E4C"/>
    <w:rsid w:val="005E29CF"/>
    <w:rsid w:val="005E32D2"/>
    <w:rsid w:val="005E3506"/>
    <w:rsid w:val="005F3FF9"/>
    <w:rsid w:val="00601D4E"/>
    <w:rsid w:val="00602DA6"/>
    <w:rsid w:val="00611D14"/>
    <w:rsid w:val="0061280A"/>
    <w:rsid w:val="006147B1"/>
    <w:rsid w:val="00614B7D"/>
    <w:rsid w:val="00615743"/>
    <w:rsid w:val="006158DE"/>
    <w:rsid w:val="0062158C"/>
    <w:rsid w:val="00621F0D"/>
    <w:rsid w:val="00621F66"/>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3426"/>
    <w:rsid w:val="006C0DDD"/>
    <w:rsid w:val="006C624A"/>
    <w:rsid w:val="006D0260"/>
    <w:rsid w:val="006D4CC7"/>
    <w:rsid w:val="006E6EAE"/>
    <w:rsid w:val="006F12CF"/>
    <w:rsid w:val="00700F94"/>
    <w:rsid w:val="007015A5"/>
    <w:rsid w:val="007039F2"/>
    <w:rsid w:val="0070425A"/>
    <w:rsid w:val="0070669D"/>
    <w:rsid w:val="00711747"/>
    <w:rsid w:val="007137B1"/>
    <w:rsid w:val="00722FAA"/>
    <w:rsid w:val="007230BD"/>
    <w:rsid w:val="007245AE"/>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1F97"/>
    <w:rsid w:val="007835D1"/>
    <w:rsid w:val="007852D1"/>
    <w:rsid w:val="00785B7A"/>
    <w:rsid w:val="007861FE"/>
    <w:rsid w:val="00791DDC"/>
    <w:rsid w:val="00795832"/>
    <w:rsid w:val="0079611C"/>
    <w:rsid w:val="00797212"/>
    <w:rsid w:val="00797F09"/>
    <w:rsid w:val="007A0F4A"/>
    <w:rsid w:val="007A63CA"/>
    <w:rsid w:val="007B4C44"/>
    <w:rsid w:val="007B6346"/>
    <w:rsid w:val="007C047A"/>
    <w:rsid w:val="007C19E5"/>
    <w:rsid w:val="007D0A9C"/>
    <w:rsid w:val="007D442C"/>
    <w:rsid w:val="007E1FEA"/>
    <w:rsid w:val="007E387F"/>
    <w:rsid w:val="007E4A43"/>
    <w:rsid w:val="007F08D3"/>
    <w:rsid w:val="007F0B1E"/>
    <w:rsid w:val="007F1D19"/>
    <w:rsid w:val="007F3F5D"/>
    <w:rsid w:val="007F7CA3"/>
    <w:rsid w:val="00811BA4"/>
    <w:rsid w:val="008151A5"/>
    <w:rsid w:val="00816033"/>
    <w:rsid w:val="00816BB3"/>
    <w:rsid w:val="00817A0B"/>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DB7"/>
    <w:rsid w:val="00953435"/>
    <w:rsid w:val="009544BB"/>
    <w:rsid w:val="009548DA"/>
    <w:rsid w:val="00960565"/>
    <w:rsid w:val="009606BA"/>
    <w:rsid w:val="00960BBB"/>
    <w:rsid w:val="00961EDD"/>
    <w:rsid w:val="00975062"/>
    <w:rsid w:val="00975421"/>
    <w:rsid w:val="0097605B"/>
    <w:rsid w:val="00991273"/>
    <w:rsid w:val="00993951"/>
    <w:rsid w:val="00995C16"/>
    <w:rsid w:val="009A091D"/>
    <w:rsid w:val="009A2B02"/>
    <w:rsid w:val="009A3A5D"/>
    <w:rsid w:val="009A3B11"/>
    <w:rsid w:val="009A6675"/>
    <w:rsid w:val="009B2545"/>
    <w:rsid w:val="009B408E"/>
    <w:rsid w:val="009B4DD0"/>
    <w:rsid w:val="009C334C"/>
    <w:rsid w:val="009C5F49"/>
    <w:rsid w:val="009D1280"/>
    <w:rsid w:val="009D6F07"/>
    <w:rsid w:val="009D7907"/>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1C2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110E"/>
    <w:rsid w:val="00AB352D"/>
    <w:rsid w:val="00AB3BD6"/>
    <w:rsid w:val="00AB4369"/>
    <w:rsid w:val="00AB526A"/>
    <w:rsid w:val="00AB6B42"/>
    <w:rsid w:val="00AB6E92"/>
    <w:rsid w:val="00AB7F80"/>
    <w:rsid w:val="00AC0C69"/>
    <w:rsid w:val="00AC1944"/>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2765"/>
    <w:rsid w:val="00B24314"/>
    <w:rsid w:val="00B27E2E"/>
    <w:rsid w:val="00B3293A"/>
    <w:rsid w:val="00B3450D"/>
    <w:rsid w:val="00B35D24"/>
    <w:rsid w:val="00B4048B"/>
    <w:rsid w:val="00B45090"/>
    <w:rsid w:val="00B47772"/>
    <w:rsid w:val="00B51F82"/>
    <w:rsid w:val="00B53F02"/>
    <w:rsid w:val="00B54A14"/>
    <w:rsid w:val="00B601E2"/>
    <w:rsid w:val="00B60566"/>
    <w:rsid w:val="00B6191D"/>
    <w:rsid w:val="00B635E6"/>
    <w:rsid w:val="00B75FFE"/>
    <w:rsid w:val="00B806BC"/>
    <w:rsid w:val="00B826A4"/>
    <w:rsid w:val="00B836AA"/>
    <w:rsid w:val="00B86115"/>
    <w:rsid w:val="00B96CEC"/>
    <w:rsid w:val="00B97D75"/>
    <w:rsid w:val="00BA1359"/>
    <w:rsid w:val="00BA26F9"/>
    <w:rsid w:val="00BA2D17"/>
    <w:rsid w:val="00BA4E25"/>
    <w:rsid w:val="00BA51DD"/>
    <w:rsid w:val="00BA6BBF"/>
    <w:rsid w:val="00BA6BFC"/>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848"/>
    <w:rsid w:val="00C81D94"/>
    <w:rsid w:val="00C82344"/>
    <w:rsid w:val="00C82C00"/>
    <w:rsid w:val="00C82F99"/>
    <w:rsid w:val="00C8545C"/>
    <w:rsid w:val="00C905B5"/>
    <w:rsid w:val="00C9073D"/>
    <w:rsid w:val="00C928E8"/>
    <w:rsid w:val="00C931C1"/>
    <w:rsid w:val="00C93598"/>
    <w:rsid w:val="00C93BDB"/>
    <w:rsid w:val="00CA0D38"/>
    <w:rsid w:val="00CA210B"/>
    <w:rsid w:val="00CA2EDE"/>
    <w:rsid w:val="00CA583E"/>
    <w:rsid w:val="00CA5B71"/>
    <w:rsid w:val="00CB4B4A"/>
    <w:rsid w:val="00CB5795"/>
    <w:rsid w:val="00CB6552"/>
    <w:rsid w:val="00CB6B1C"/>
    <w:rsid w:val="00CC033F"/>
    <w:rsid w:val="00CC23C1"/>
    <w:rsid w:val="00CC3B21"/>
    <w:rsid w:val="00CC4621"/>
    <w:rsid w:val="00CD277D"/>
    <w:rsid w:val="00CD337B"/>
    <w:rsid w:val="00CD3B2D"/>
    <w:rsid w:val="00CD65E5"/>
    <w:rsid w:val="00CE217C"/>
    <w:rsid w:val="00CE2F02"/>
    <w:rsid w:val="00CE57A7"/>
    <w:rsid w:val="00CF0151"/>
    <w:rsid w:val="00CF0431"/>
    <w:rsid w:val="00CF7E6E"/>
    <w:rsid w:val="00D001D4"/>
    <w:rsid w:val="00D009DF"/>
    <w:rsid w:val="00D016EF"/>
    <w:rsid w:val="00D025DE"/>
    <w:rsid w:val="00D03C29"/>
    <w:rsid w:val="00D07963"/>
    <w:rsid w:val="00D14EFE"/>
    <w:rsid w:val="00D169F1"/>
    <w:rsid w:val="00D172F2"/>
    <w:rsid w:val="00D17702"/>
    <w:rsid w:val="00D21AAD"/>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103F"/>
    <w:rsid w:val="00E23C2B"/>
    <w:rsid w:val="00E36A2A"/>
    <w:rsid w:val="00E423D4"/>
    <w:rsid w:val="00E42D3E"/>
    <w:rsid w:val="00E468CE"/>
    <w:rsid w:val="00E47544"/>
    <w:rsid w:val="00E505BC"/>
    <w:rsid w:val="00E51445"/>
    <w:rsid w:val="00E56EB3"/>
    <w:rsid w:val="00E5796B"/>
    <w:rsid w:val="00E63322"/>
    <w:rsid w:val="00E647E1"/>
    <w:rsid w:val="00E7125C"/>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D0537"/>
    <w:rsid w:val="00ED3660"/>
    <w:rsid w:val="00ED3D53"/>
    <w:rsid w:val="00ED54C8"/>
    <w:rsid w:val="00EE032E"/>
    <w:rsid w:val="00EE1106"/>
    <w:rsid w:val="00EE2E82"/>
    <w:rsid w:val="00EE3408"/>
    <w:rsid w:val="00EF2874"/>
    <w:rsid w:val="00EF582D"/>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16A5"/>
    <w:rsid w:val="00F9315E"/>
    <w:rsid w:val="00FA2C27"/>
    <w:rsid w:val="00FA3E49"/>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10316</Words>
  <Characters>53749</Characters>
  <Application>Microsoft Office Word</Application>
  <DocSecurity>0</DocSecurity>
  <Lines>1221</Lines>
  <Paragraphs>660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2026-08-14T13:44:00Z</dcterms:created>
  <dcterms:modified xsi:type="dcterms:W3CDTF">2026-08-14T13:44:00Z</dcterms:modified>
</cp:coreProperties>
</file>